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C68EF" w14:textId="68E047B8" w:rsidR="00864A8F" w:rsidRPr="004701A6" w:rsidRDefault="002504F0" w:rsidP="00655642">
      <w:pPr>
        <w:pStyle w:val="Heading1"/>
        <w:numPr>
          <w:ilvl w:val="0"/>
          <w:numId w:val="0"/>
        </w:numPr>
        <w:spacing w:before="360" w:after="240" w:line="276" w:lineRule="auto"/>
        <w:ind w:left="431"/>
        <w:jc w:val="center"/>
        <w:rPr>
          <w:rFonts w:ascii="Arial" w:hAnsi="Arial" w:cs="Arial"/>
          <w:b/>
          <w:sz w:val="28"/>
          <w:szCs w:val="28"/>
        </w:rPr>
      </w:pPr>
      <w:bookmarkStart w:id="0" w:name="_Toc530750667"/>
      <w:bookmarkStart w:id="1" w:name="_Toc531696231"/>
      <w:bookmarkStart w:id="2" w:name="_Toc534881540"/>
      <w:bookmarkStart w:id="3" w:name="_Toc4408937"/>
      <w:bookmarkStart w:id="4" w:name="_Toc135126299"/>
      <w:r w:rsidRPr="004701A6">
        <w:rPr>
          <w:rFonts w:ascii="Arial" w:hAnsi="Arial" w:cs="Arial"/>
          <w:b/>
          <w:sz w:val="28"/>
          <w:szCs w:val="28"/>
        </w:rPr>
        <w:t xml:space="preserve">Opći </w:t>
      </w:r>
      <w:r w:rsidR="007174C9" w:rsidRPr="004701A6">
        <w:rPr>
          <w:rFonts w:ascii="Arial" w:hAnsi="Arial" w:cs="Arial"/>
          <w:b/>
          <w:sz w:val="28"/>
          <w:szCs w:val="28"/>
        </w:rPr>
        <w:t>kriteriji</w:t>
      </w:r>
      <w:r w:rsidRPr="004701A6">
        <w:rPr>
          <w:rFonts w:ascii="Arial" w:hAnsi="Arial" w:cs="Arial"/>
          <w:b/>
          <w:sz w:val="28"/>
          <w:szCs w:val="28"/>
        </w:rPr>
        <w:t xml:space="preserve"> </w:t>
      </w:r>
      <w:r w:rsidR="004A1CC9" w:rsidRPr="004701A6">
        <w:rPr>
          <w:rFonts w:ascii="Arial" w:hAnsi="Arial" w:cs="Arial"/>
          <w:b/>
          <w:sz w:val="28"/>
          <w:szCs w:val="28"/>
        </w:rPr>
        <w:t>prihvatljivosti</w:t>
      </w:r>
      <w:bookmarkEnd w:id="0"/>
      <w:bookmarkEnd w:id="1"/>
      <w:bookmarkEnd w:id="2"/>
      <w:bookmarkEnd w:id="3"/>
      <w:bookmarkEnd w:id="4"/>
    </w:p>
    <w:p w14:paraId="3DCDB729" w14:textId="2474D8DE" w:rsidR="00FB5A25" w:rsidRPr="00186872" w:rsidRDefault="00FB5A25" w:rsidP="00FB5A25">
      <w:pPr>
        <w:pStyle w:val="ListParagraph"/>
        <w:spacing w:line="276" w:lineRule="auto"/>
        <w:ind w:left="0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eastAsiaTheme="minorEastAsia" w:cs="Arial"/>
          <w:szCs w:val="20"/>
          <w:lang w:eastAsia="hr-HR"/>
        </w:rPr>
        <w:t>Opći kriteriji prihvatljivosti definiraju</w:t>
      </w:r>
      <w:r w:rsidRPr="00186872">
        <w:rPr>
          <w:rFonts w:eastAsiaTheme="minorEastAsia" w:cs="Arial"/>
          <w:szCs w:val="20"/>
        </w:rPr>
        <w:t xml:space="preserve"> općenite značajke, ograničenja i posebnosti koje se primjenjuju kod kreditiranja projekata/klijenata prema programima kreditiranja:</w:t>
      </w:r>
      <w:r w:rsidRPr="00186872">
        <w:rPr>
          <w:rFonts w:eastAsia="Times New Roman" w:cs="Arial"/>
          <w:bCs/>
          <w:szCs w:val="20"/>
          <w:lang w:eastAsia="hr-HR"/>
        </w:rPr>
        <w:t xml:space="preserve"> </w:t>
      </w:r>
      <w:bookmarkStart w:id="5" w:name="_Hlk1480171"/>
      <w:r w:rsidRPr="00186872">
        <w:rPr>
          <w:rFonts w:eastAsia="Times New Roman" w:cs="Arial"/>
          <w:b/>
          <w:bCs/>
          <w:szCs w:val="20"/>
          <w:lang w:eastAsia="hr-HR"/>
        </w:rPr>
        <w:t xml:space="preserve">Poduzetništvo mladih, žena i početnika; Investicije privatnog sektora; Investicije javnog sektora; </w:t>
      </w:r>
      <w:r w:rsidR="00186872" w:rsidRPr="00186872">
        <w:rPr>
          <w:rFonts w:eastAsia="Times New Roman" w:cs="Arial"/>
          <w:b/>
          <w:bCs/>
          <w:szCs w:val="20"/>
          <w:lang w:eastAsia="hr-HR"/>
        </w:rPr>
        <w:t>Investicije posebnih segmenata MSP-ova u okviru</w:t>
      </w:r>
      <w:r w:rsidR="00F42B95">
        <w:rPr>
          <w:rFonts w:eastAsia="Times New Roman" w:cs="Arial"/>
          <w:b/>
          <w:bCs/>
          <w:szCs w:val="20"/>
          <w:lang w:eastAsia="hr-HR"/>
        </w:rPr>
        <w:t xml:space="preserve"> Nacionalnog plana oporavka i otpornosti (</w:t>
      </w:r>
      <w:r w:rsidR="00186872" w:rsidRPr="00186872">
        <w:rPr>
          <w:rFonts w:eastAsia="Times New Roman" w:cs="Arial"/>
          <w:b/>
          <w:bCs/>
          <w:szCs w:val="20"/>
          <w:lang w:eastAsia="hr-HR"/>
        </w:rPr>
        <w:t>NPOO</w:t>
      </w:r>
      <w:r w:rsidR="00F42B95">
        <w:rPr>
          <w:rFonts w:eastAsia="Times New Roman" w:cs="Arial"/>
          <w:b/>
          <w:bCs/>
          <w:szCs w:val="20"/>
          <w:lang w:eastAsia="hr-HR"/>
        </w:rPr>
        <w:t>)</w:t>
      </w:r>
      <w:r w:rsidR="00186872" w:rsidRPr="00186872">
        <w:rPr>
          <w:rFonts w:eastAsia="Times New Roman" w:cs="Arial"/>
          <w:b/>
          <w:bCs/>
          <w:szCs w:val="20"/>
          <w:lang w:eastAsia="hr-HR"/>
        </w:rPr>
        <w:t xml:space="preserve">; </w:t>
      </w:r>
      <w:r w:rsidRPr="00186872">
        <w:rPr>
          <w:rFonts w:eastAsia="Times New Roman" w:cs="Arial"/>
          <w:b/>
          <w:bCs/>
          <w:szCs w:val="20"/>
          <w:lang w:eastAsia="hr-HR"/>
        </w:rPr>
        <w:t>EU projekti; Obrtna sredstva; Priprema izvoza; Financijsko restrukturiranje</w:t>
      </w:r>
      <w:r w:rsidR="00F8762B" w:rsidRPr="00186872">
        <w:rPr>
          <w:rFonts w:eastAsia="Times New Roman" w:cs="Arial"/>
          <w:szCs w:val="20"/>
          <w:lang w:eastAsia="hr-HR"/>
        </w:rPr>
        <w:t>.</w:t>
      </w:r>
    </w:p>
    <w:p w14:paraId="60FBDFDA" w14:textId="31F257C4" w:rsidR="00F8762B" w:rsidRPr="00186872" w:rsidRDefault="00F8762B" w:rsidP="00FB5A25">
      <w:pPr>
        <w:pStyle w:val="ListParagraph"/>
        <w:spacing w:line="276" w:lineRule="auto"/>
        <w:ind w:left="0"/>
        <w:jc w:val="both"/>
        <w:rPr>
          <w:rFonts w:eastAsia="Times New Roman" w:cs="Arial"/>
          <w:szCs w:val="20"/>
          <w:lang w:eastAsia="hr-HR"/>
        </w:rPr>
      </w:pPr>
    </w:p>
    <w:p w14:paraId="2C1751C1" w14:textId="58E26123" w:rsidR="00F8762B" w:rsidRPr="00186872" w:rsidRDefault="00F8762B" w:rsidP="00204968">
      <w:pPr>
        <w:spacing w:line="276" w:lineRule="auto"/>
        <w:jc w:val="both"/>
        <w:rPr>
          <w:lang w:eastAsia="hr-HR"/>
        </w:rPr>
      </w:pPr>
      <w:bookmarkStart w:id="6" w:name="_Toc4408939"/>
      <w:r w:rsidRPr="00186872">
        <w:rPr>
          <w:lang w:eastAsia="hr-HR"/>
        </w:rPr>
        <w:t>Opći kriterij</w:t>
      </w:r>
      <w:r w:rsidR="00C9695A">
        <w:rPr>
          <w:lang w:eastAsia="hr-HR"/>
        </w:rPr>
        <w:t>i</w:t>
      </w:r>
      <w:r w:rsidRPr="00186872">
        <w:rPr>
          <w:lang w:eastAsia="hr-HR"/>
        </w:rPr>
        <w:t xml:space="preserve"> prihvatljivosti </w:t>
      </w:r>
      <w:r w:rsidR="00C9695A">
        <w:rPr>
          <w:lang w:eastAsia="hr-HR"/>
        </w:rPr>
        <w:t xml:space="preserve">odnose se i </w:t>
      </w:r>
      <w:r w:rsidRPr="00186872">
        <w:rPr>
          <w:lang w:eastAsia="hr-HR"/>
        </w:rPr>
        <w:t xml:space="preserve">na sve ostale </w:t>
      </w:r>
      <w:bookmarkStart w:id="7" w:name="_Hlk106173766"/>
      <w:r w:rsidRPr="00186872">
        <w:rPr>
          <w:lang w:eastAsia="hr-HR"/>
        </w:rPr>
        <w:t>programe i proizvode HBOR-a</w:t>
      </w:r>
      <w:bookmarkEnd w:id="7"/>
      <w:r w:rsidR="00204968" w:rsidRPr="00186872">
        <w:rPr>
          <w:lang w:eastAsia="hr-HR"/>
        </w:rPr>
        <w:t xml:space="preserve">, </w:t>
      </w:r>
      <w:r w:rsidR="00C9695A">
        <w:rPr>
          <w:lang w:eastAsia="hr-HR"/>
        </w:rPr>
        <w:t xml:space="preserve">u svim dijelovima u kojima je to primjenjivo, </w:t>
      </w:r>
      <w:r w:rsidR="00204968" w:rsidRPr="00186872">
        <w:rPr>
          <w:lang w:eastAsia="hr-HR"/>
        </w:rPr>
        <w:t>osim ako pojedinim programom i/ili proizvodom nije drugačije definirano</w:t>
      </w:r>
      <w:r w:rsidRPr="00186872">
        <w:rPr>
          <w:lang w:eastAsia="hr-HR"/>
        </w:rPr>
        <w:t>.</w:t>
      </w:r>
      <w:bookmarkEnd w:id="6"/>
    </w:p>
    <w:p w14:paraId="391DD7B7" w14:textId="77777777" w:rsidR="00F8762B" w:rsidRPr="00186872" w:rsidRDefault="00F8762B" w:rsidP="00FB5A25">
      <w:pPr>
        <w:pStyle w:val="ListParagraph"/>
        <w:spacing w:line="276" w:lineRule="auto"/>
        <w:ind w:left="0"/>
        <w:jc w:val="both"/>
        <w:rPr>
          <w:rFonts w:eastAsia="Times New Roman" w:cs="Arial"/>
          <w:szCs w:val="20"/>
          <w:lang w:eastAsia="hr-HR"/>
        </w:rPr>
      </w:pPr>
    </w:p>
    <w:p w14:paraId="5A4F6B41" w14:textId="77777777" w:rsidR="00290683" w:rsidRPr="00186872" w:rsidRDefault="00290683" w:rsidP="00FB5A25">
      <w:pPr>
        <w:pStyle w:val="ListParagraph"/>
        <w:spacing w:line="276" w:lineRule="auto"/>
        <w:ind w:left="0"/>
        <w:jc w:val="both"/>
        <w:rPr>
          <w:rFonts w:eastAsia="Times New Roman" w:cs="Arial"/>
          <w:szCs w:val="20"/>
          <w:lang w:eastAsia="hr-HR"/>
        </w:rPr>
      </w:pPr>
    </w:p>
    <w:bookmarkEnd w:id="5" w:displacedByCustomXml="next"/>
    <w:bookmarkStart w:id="8" w:name="_Toc93470810" w:displacedByCustomXml="next"/>
    <w:bookmarkStart w:id="9" w:name="_Toc4408938" w:displacedByCustomXml="next"/>
    <w:sdt>
      <w:sdtPr>
        <w:id w:val="-884179149"/>
        <w:docPartObj>
          <w:docPartGallery w:val="Table of Contents"/>
          <w:docPartUnique/>
        </w:docPartObj>
      </w:sdtPr>
      <w:sdtContent>
        <w:bookmarkEnd w:id="9" w:displacedByCustomXml="prev"/>
        <w:bookmarkEnd w:id="8" w:displacedByCustomXml="prev"/>
        <w:p w14:paraId="44C63FEA" w14:textId="77777777" w:rsidR="00872DB7" w:rsidRDefault="00877EF7" w:rsidP="00872DB7">
          <w:pPr>
            <w:pStyle w:val="TOC1"/>
          </w:pPr>
          <w:r w:rsidRPr="00E27923">
            <w:t>Sadržaj</w:t>
          </w:r>
          <w:r w:rsidR="000B1F6C" w:rsidRPr="00E27923">
            <w:rPr>
              <w:rFonts w:eastAsiaTheme="majorEastAsia"/>
              <w:noProof w:val="0"/>
              <w:lang w:eastAsia="en-US"/>
            </w:rPr>
            <w:fldChar w:fldCharType="begin"/>
          </w:r>
          <w:r w:rsidR="000B1F6C" w:rsidRPr="00E27923">
            <w:instrText xml:space="preserve"> TOC \o "1-3" \h \z \u </w:instrText>
          </w:r>
          <w:r w:rsidR="000B1F6C" w:rsidRPr="00E27923">
            <w:rPr>
              <w:rFonts w:eastAsiaTheme="majorEastAsia"/>
              <w:noProof w:val="0"/>
              <w:lang w:eastAsia="en-US"/>
            </w:rPr>
            <w:fldChar w:fldCharType="separate"/>
          </w:r>
        </w:p>
        <w:p w14:paraId="048EDA97" w14:textId="3F843A32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299" w:history="1">
            <w:r w:rsidR="00872DB7" w:rsidRPr="0041349A">
              <w:rPr>
                <w:rStyle w:val="Hyperlink"/>
              </w:rPr>
              <w:t>Opći kriteriji prihvatljivosti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_Toc135126299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1</w:t>
            </w:r>
            <w:r w:rsidR="00872DB7">
              <w:rPr>
                <w:webHidden/>
              </w:rPr>
              <w:fldChar w:fldCharType="end"/>
            </w:r>
          </w:hyperlink>
        </w:p>
        <w:p w14:paraId="77647984" w14:textId="38C5C9D0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00" w:history="1">
            <w:r w:rsidR="00872DB7" w:rsidRPr="0041349A">
              <w:rPr>
                <w:rStyle w:val="Hyperlink"/>
              </w:rPr>
              <w:t>1.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Korisnici kredita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_Toc135126300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6496B2AA" w14:textId="1311DCE3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01" w:history="1">
            <w:r w:rsidR="00872DB7" w:rsidRPr="0041349A">
              <w:rPr>
                <w:rStyle w:val="Hyperlink"/>
              </w:rPr>
              <w:t>1.1.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Prihvatljivi korisnici kredita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_Toc135126301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04510B63" w14:textId="35CDF158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2" w:history="1">
            <w:r w:rsidR="00872DB7" w:rsidRPr="0041349A">
              <w:rPr>
                <w:rStyle w:val="Hyperlink"/>
              </w:rPr>
              <w:t>Poslovni subjekti privatnog sektora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_Toc135126302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342E9075" w14:textId="6AE3C5DE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3" w:history="1">
            <w:r w:rsidR="00872DB7" w:rsidRPr="0041349A">
              <w:rPr>
                <w:rStyle w:val="Hyperlink"/>
              </w:rPr>
              <w:t>Mikro, mali i srednji poduzetnici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_Toc135126303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7968BAE2" w14:textId="66A33D3D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4" w:history="1">
            <w:r w:rsidR="00872DB7" w:rsidRPr="0041349A">
              <w:rPr>
                <w:rStyle w:val="Hyperlink"/>
              </w:rPr>
              <w:t>Subjekti srednje tržišne kapitalizacije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_Toc135126304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41D65CE6" w14:textId="53E651AE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5" w:history="1">
            <w:r w:rsidR="00872DB7" w:rsidRPr="0041349A">
              <w:rPr>
                <w:rStyle w:val="Hyperlink"/>
              </w:rPr>
              <w:t>Veliki poslovni subjekti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_Toc135126305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57B6B381" w14:textId="17319FD7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6" w:history="1">
            <w:r w:rsidR="00872DB7" w:rsidRPr="0041349A">
              <w:rPr>
                <w:rStyle w:val="Hyperlink"/>
              </w:rPr>
              <w:t>Subjekti javnog sektora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_Toc135126306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17112E70" w14:textId="1DB5470E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07" w:history="1">
            <w:r w:rsidR="00872DB7" w:rsidRPr="0041349A">
              <w:rPr>
                <w:rStyle w:val="Hyperlink"/>
              </w:rPr>
              <w:t>1.2.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Posebne ciljne skupine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_Toc135126307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092F389C" w14:textId="4575CADF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8" w:history="1">
            <w:r w:rsidR="00872DB7" w:rsidRPr="0041349A">
              <w:rPr>
                <w:rStyle w:val="Hyperlink"/>
              </w:rPr>
              <w:t>Mladi poduzetnici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_Toc135126308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739B7BCE" w14:textId="0C814417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09" w:history="1">
            <w:r w:rsidR="00872DB7" w:rsidRPr="0041349A">
              <w:rPr>
                <w:rStyle w:val="Hyperlink"/>
              </w:rPr>
              <w:t>Žene poduzetnice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_Toc135126309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3</w:t>
            </w:r>
            <w:r w:rsidR="00872DB7">
              <w:rPr>
                <w:webHidden/>
              </w:rPr>
              <w:fldChar w:fldCharType="end"/>
            </w:r>
          </w:hyperlink>
        </w:p>
        <w:p w14:paraId="2EE98473" w14:textId="51DBB651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0" w:history="1">
            <w:r w:rsidR="00872DB7" w:rsidRPr="0041349A">
              <w:rPr>
                <w:rStyle w:val="Hyperlink"/>
              </w:rPr>
              <w:t>Poduzetnici početnici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_Toc135126310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4</w:t>
            </w:r>
            <w:r w:rsidR="00872DB7">
              <w:rPr>
                <w:webHidden/>
              </w:rPr>
              <w:fldChar w:fldCharType="end"/>
            </w:r>
          </w:hyperlink>
        </w:p>
        <w:p w14:paraId="4F8AF7EF" w14:textId="70A98E11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1" w:history="1">
            <w:r w:rsidR="00872DB7" w:rsidRPr="0041349A">
              <w:rPr>
                <w:rStyle w:val="Hyperlink"/>
              </w:rPr>
              <w:t>Tržišno konkurentni poslovni subjekti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_Toc135126311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4</w:t>
            </w:r>
            <w:r w:rsidR="00872DB7">
              <w:rPr>
                <w:webHidden/>
              </w:rPr>
              <w:fldChar w:fldCharType="end"/>
            </w:r>
          </w:hyperlink>
        </w:p>
        <w:p w14:paraId="21566298" w14:textId="51914B3A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12" w:history="1">
            <w:r w:rsidR="00872DB7" w:rsidRPr="0041349A">
              <w:rPr>
                <w:rStyle w:val="Hyperlink"/>
              </w:rPr>
              <w:t>1.3.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Neprihvatljivi korisnici kredita i ograničenja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_Toc135126312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4</w:t>
            </w:r>
            <w:r w:rsidR="00872DB7">
              <w:rPr>
                <w:webHidden/>
              </w:rPr>
              <w:fldChar w:fldCharType="end"/>
            </w:r>
          </w:hyperlink>
        </w:p>
        <w:p w14:paraId="0A1121BC" w14:textId="6CA93682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3" w:history="1">
            <w:r w:rsidR="00872DB7" w:rsidRPr="0041349A">
              <w:rPr>
                <w:rStyle w:val="Hyperlink"/>
              </w:rPr>
              <w:t>Poduzetnici u teškoćama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_Toc135126313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4</w:t>
            </w:r>
            <w:r w:rsidR="00872DB7">
              <w:rPr>
                <w:webHidden/>
              </w:rPr>
              <w:fldChar w:fldCharType="end"/>
            </w:r>
          </w:hyperlink>
        </w:p>
        <w:p w14:paraId="4E47EBD5" w14:textId="4CA0E844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4" w:history="1">
            <w:r w:rsidR="00872DB7" w:rsidRPr="0041349A">
              <w:rPr>
                <w:rStyle w:val="Hyperlink"/>
              </w:rPr>
              <w:t>Poslovni subjekti u kojima udjele u vlasništvu imaju obveznici Zakona o sprječavanju sukoba interesa i članovi njihove obitelji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_Toc135126314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4</w:t>
            </w:r>
            <w:r w:rsidR="00872DB7">
              <w:rPr>
                <w:webHidden/>
              </w:rPr>
              <w:fldChar w:fldCharType="end"/>
            </w:r>
          </w:hyperlink>
        </w:p>
        <w:p w14:paraId="382F2F9C" w14:textId="6D077FBE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5" w:history="1">
            <w:r w:rsidR="00872DB7" w:rsidRPr="0041349A">
              <w:rPr>
                <w:rStyle w:val="Hyperlink"/>
              </w:rPr>
              <w:t>Kriteriji isključenja sukladno Pravilniku o upravljanju reputacijskim rizikom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_Toc135126315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0542365D" w14:textId="01FF3A12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16" w:history="1">
            <w:r w:rsidR="00872DB7" w:rsidRPr="0041349A">
              <w:rPr>
                <w:rStyle w:val="Hyperlink"/>
              </w:rPr>
              <w:t>2.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Posebna područja RH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_Toc135126316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582C3439" w14:textId="7DDAA4CE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7" w:history="1">
            <w:r w:rsidR="00872DB7" w:rsidRPr="0041349A">
              <w:rPr>
                <w:rStyle w:val="Hyperlink"/>
              </w:rPr>
              <w:t>Potpomognuta područja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_Toc135126317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32DC4F84" w14:textId="14C0196B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8" w:history="1">
            <w:r w:rsidR="00872DB7" w:rsidRPr="0041349A">
              <w:rPr>
                <w:rStyle w:val="Hyperlink"/>
              </w:rPr>
              <w:t>Brdsko-planinska područja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_Toc135126318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48E34881" w14:textId="7CE63310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19" w:history="1">
            <w:r w:rsidR="00872DB7" w:rsidRPr="0041349A">
              <w:rPr>
                <w:rStyle w:val="Hyperlink"/>
              </w:rPr>
              <w:t>Otoci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_Toc135126319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526156A0" w14:textId="46998D61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20" w:history="1">
            <w:r w:rsidR="00872DB7" w:rsidRPr="0041349A">
              <w:rPr>
                <w:rStyle w:val="Hyperlink"/>
              </w:rPr>
              <w:t>3.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Djelatnosti od posebnog interesa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_Toc135126320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5</w:t>
            </w:r>
            <w:r w:rsidR="00872DB7">
              <w:rPr>
                <w:webHidden/>
              </w:rPr>
              <w:fldChar w:fldCharType="end"/>
            </w:r>
          </w:hyperlink>
        </w:p>
        <w:p w14:paraId="7B452930" w14:textId="04D60C00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21" w:history="1">
            <w:r w:rsidR="00872DB7" w:rsidRPr="0041349A">
              <w:rPr>
                <w:rStyle w:val="Hyperlink"/>
              </w:rPr>
              <w:t>4.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Posebne vrste ulaganja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_Toc135126321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274A1A50" w14:textId="17BDF28E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2" w:history="1">
            <w:r w:rsidR="00872DB7" w:rsidRPr="0041349A">
              <w:rPr>
                <w:rStyle w:val="Hyperlink"/>
              </w:rPr>
              <w:t>Zelena tranzicija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_Toc135126322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60E03CE9" w14:textId="72F46043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3" w:history="1">
            <w:r w:rsidR="00872DB7" w:rsidRPr="0041349A">
              <w:rPr>
                <w:rStyle w:val="Hyperlink"/>
              </w:rPr>
              <w:t>Digitalizacija (digitalna tranzicija)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_Toc135126323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158DAC49" w14:textId="285483EC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4" w:history="1">
            <w:r w:rsidR="00872DB7" w:rsidRPr="0041349A">
              <w:rPr>
                <w:rStyle w:val="Hyperlink"/>
              </w:rPr>
              <w:t>Istraživanja, razvoj i inovacije - RDI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_Toc135126324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771726BC" w14:textId="6B0BC6D0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5" w:history="1">
            <w:r w:rsidR="00872DB7" w:rsidRPr="0041349A">
              <w:rPr>
                <w:rStyle w:val="Hyperlink"/>
              </w:rPr>
              <w:t>Ulaganja s ciljem oporavka od posljedica potresa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_Toc135126325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4E35FFAB" w14:textId="7BEB153A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6" w:history="1">
            <w:r w:rsidR="00872DB7" w:rsidRPr="0041349A">
              <w:rPr>
                <w:rStyle w:val="Hyperlink"/>
              </w:rPr>
              <w:t>Socijalna infrastruktura i/ili ulaganja usmjerena na umanjenje negativnih demografskih kretanja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_Toc135126326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6</w:t>
            </w:r>
            <w:r w:rsidR="00872DB7">
              <w:rPr>
                <w:webHidden/>
              </w:rPr>
              <w:fldChar w:fldCharType="end"/>
            </w:r>
          </w:hyperlink>
        </w:p>
        <w:p w14:paraId="089E2941" w14:textId="2CCC565A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27" w:history="1">
            <w:r w:rsidR="00872DB7" w:rsidRPr="0041349A">
              <w:rPr>
                <w:rStyle w:val="Hyperlink"/>
              </w:rPr>
              <w:t>5.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Neprihvatljive aktivnosti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_Toc135126327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7</w:t>
            </w:r>
            <w:r w:rsidR="00872DB7">
              <w:rPr>
                <w:webHidden/>
              </w:rPr>
              <w:fldChar w:fldCharType="end"/>
            </w:r>
          </w:hyperlink>
        </w:p>
        <w:p w14:paraId="36A145D5" w14:textId="0BA3DD21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28" w:history="1">
            <w:r w:rsidR="00872DB7" w:rsidRPr="0041349A">
              <w:rPr>
                <w:rStyle w:val="Hyperlink"/>
              </w:rPr>
              <w:t>6.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Poticajne kamatne stope i propisi o potporama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_Toc135126328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7</w:t>
            </w:r>
            <w:r w:rsidR="00872DB7">
              <w:rPr>
                <w:webHidden/>
              </w:rPr>
              <w:fldChar w:fldCharType="end"/>
            </w:r>
          </w:hyperlink>
        </w:p>
        <w:p w14:paraId="6400BE17" w14:textId="119A689A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29" w:history="1">
            <w:r w:rsidR="00872DB7" w:rsidRPr="0041349A">
              <w:rPr>
                <w:rStyle w:val="Hyperlink"/>
              </w:rPr>
              <w:t>Poticajna kamatna stopa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_Toc135126329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7</w:t>
            </w:r>
            <w:r w:rsidR="00872DB7">
              <w:rPr>
                <w:webHidden/>
              </w:rPr>
              <w:fldChar w:fldCharType="end"/>
            </w:r>
          </w:hyperlink>
        </w:p>
        <w:p w14:paraId="0B895DA9" w14:textId="305F0BC3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0" w:history="1">
            <w:r w:rsidR="00872DB7" w:rsidRPr="0041349A">
              <w:rPr>
                <w:rStyle w:val="Hyperlink"/>
              </w:rPr>
              <w:t>Opća kamatna stopa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_Toc135126330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7</w:t>
            </w:r>
            <w:r w:rsidR="00872DB7">
              <w:rPr>
                <w:webHidden/>
              </w:rPr>
              <w:fldChar w:fldCharType="end"/>
            </w:r>
          </w:hyperlink>
        </w:p>
        <w:p w14:paraId="2FDAE60D" w14:textId="0E62055C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1" w:history="1">
            <w:r w:rsidR="00872DB7" w:rsidRPr="0041349A">
              <w:rPr>
                <w:rStyle w:val="Hyperlink"/>
              </w:rPr>
              <w:t>Potpora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_Toc135126331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8</w:t>
            </w:r>
            <w:r w:rsidR="00872DB7">
              <w:rPr>
                <w:webHidden/>
              </w:rPr>
              <w:fldChar w:fldCharType="end"/>
            </w:r>
          </w:hyperlink>
        </w:p>
        <w:p w14:paraId="7BB84966" w14:textId="4461D34C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2" w:history="1">
            <w:r w:rsidR="00872DB7" w:rsidRPr="0041349A">
              <w:rPr>
                <w:rStyle w:val="Hyperlink"/>
              </w:rPr>
              <w:t>Vrsta ulaganja i potpore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_Toc135126332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8</w:t>
            </w:r>
            <w:r w:rsidR="00872DB7">
              <w:rPr>
                <w:webHidden/>
              </w:rPr>
              <w:fldChar w:fldCharType="end"/>
            </w:r>
          </w:hyperlink>
        </w:p>
        <w:p w14:paraId="67E4D599" w14:textId="63871653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33" w:history="1">
            <w:r w:rsidR="00872DB7" w:rsidRPr="0041349A">
              <w:rPr>
                <w:rStyle w:val="Hyperlink"/>
              </w:rPr>
              <w:t>6.1.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Državne potpore i učinak poticaja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_Toc135126333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8</w:t>
            </w:r>
            <w:r w:rsidR="00872DB7">
              <w:rPr>
                <w:webHidden/>
              </w:rPr>
              <w:fldChar w:fldCharType="end"/>
            </w:r>
          </w:hyperlink>
        </w:p>
        <w:p w14:paraId="50E33F0C" w14:textId="02D67B4A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34" w:history="1">
            <w:r w:rsidR="00872DB7" w:rsidRPr="0041349A">
              <w:rPr>
                <w:rStyle w:val="Hyperlink"/>
              </w:rPr>
              <w:t>6.2.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Posebni programi u smislu primjene pravila o potporama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_Toc135126334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9</w:t>
            </w:r>
            <w:r w:rsidR="00872DB7">
              <w:rPr>
                <w:webHidden/>
              </w:rPr>
              <w:fldChar w:fldCharType="end"/>
            </w:r>
          </w:hyperlink>
        </w:p>
        <w:p w14:paraId="38F6A1DA" w14:textId="516F616D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5" w:history="1">
            <w:r w:rsidR="00872DB7" w:rsidRPr="0041349A">
              <w:rPr>
                <w:rStyle w:val="Hyperlink"/>
              </w:rPr>
              <w:t>EU projekti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_Toc135126335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9</w:t>
            </w:r>
            <w:r w:rsidR="00872DB7">
              <w:rPr>
                <w:webHidden/>
              </w:rPr>
              <w:fldChar w:fldCharType="end"/>
            </w:r>
          </w:hyperlink>
        </w:p>
        <w:p w14:paraId="68ABF0A6" w14:textId="53AAD765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6" w:history="1">
            <w:r w:rsidR="00872DB7" w:rsidRPr="0041349A">
              <w:rPr>
                <w:rStyle w:val="Hyperlink"/>
              </w:rPr>
              <w:t>Investicije javnog sektora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_Toc135126336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9</w:t>
            </w:r>
            <w:r w:rsidR="00872DB7">
              <w:rPr>
                <w:webHidden/>
              </w:rPr>
              <w:fldChar w:fldCharType="end"/>
            </w:r>
          </w:hyperlink>
        </w:p>
        <w:p w14:paraId="273C02F2" w14:textId="55B1582A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37" w:history="1">
            <w:r w:rsidR="00872DB7" w:rsidRPr="0041349A">
              <w:rPr>
                <w:rStyle w:val="Hyperlink"/>
              </w:rPr>
              <w:t>Financijsko restrukturiranje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_Toc135126337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10</w:t>
            </w:r>
            <w:r w:rsidR="00872DB7">
              <w:rPr>
                <w:webHidden/>
              </w:rPr>
              <w:fldChar w:fldCharType="end"/>
            </w:r>
          </w:hyperlink>
        </w:p>
        <w:p w14:paraId="4449D44E" w14:textId="28D58171" w:rsidR="00872DB7" w:rsidRDefault="00000000">
          <w:pPr>
            <w:pStyle w:val="TOC2"/>
            <w:rPr>
              <w:rFonts w:asciiTheme="minorHAnsi" w:hAnsiTheme="minorHAnsi" w:cstheme="minorBidi"/>
              <w:b w:val="0"/>
              <w:bCs w:val="0"/>
              <w:sz w:val="22"/>
              <w:szCs w:val="22"/>
            </w:rPr>
          </w:pPr>
          <w:hyperlink w:anchor="_Toc135126338" w:history="1">
            <w:r w:rsidR="00872DB7" w:rsidRPr="0041349A">
              <w:rPr>
                <w:rStyle w:val="Hyperlink"/>
              </w:rPr>
              <w:t>6.3.</w:t>
            </w:r>
            <w:r w:rsidR="00872DB7"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Izuzeća od financiranja uz poticajnu kamatnu stopu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_Toc135126338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10</w:t>
            </w:r>
            <w:r w:rsidR="00872DB7">
              <w:rPr>
                <w:webHidden/>
              </w:rPr>
              <w:fldChar w:fldCharType="end"/>
            </w:r>
          </w:hyperlink>
        </w:p>
        <w:p w14:paraId="5F629EBC" w14:textId="4E5F3B35" w:rsidR="00872DB7" w:rsidRDefault="00000000" w:rsidP="00872DB7">
          <w:pPr>
            <w:pStyle w:val="TOC1"/>
            <w:rPr>
              <w:rFonts w:asciiTheme="minorHAnsi" w:hAnsiTheme="minorHAnsi" w:cstheme="minorBidi"/>
              <w:sz w:val="22"/>
              <w:szCs w:val="22"/>
            </w:rPr>
          </w:pPr>
          <w:hyperlink w:anchor="_Toc135126339" w:history="1">
            <w:r w:rsidR="00872DB7" w:rsidRPr="0041349A">
              <w:rPr>
                <w:rStyle w:val="Hyperlink"/>
              </w:rPr>
              <w:t>7.</w:t>
            </w:r>
            <w:r w:rsidR="00872DB7">
              <w:rPr>
                <w:rFonts w:asciiTheme="minorHAnsi" w:hAnsiTheme="minorHAnsi" w:cstheme="minorBidi"/>
                <w:sz w:val="22"/>
                <w:szCs w:val="22"/>
              </w:rPr>
              <w:tab/>
            </w:r>
            <w:r w:rsidR="00872DB7" w:rsidRPr="0041349A">
              <w:rPr>
                <w:rStyle w:val="Hyperlink"/>
              </w:rPr>
              <w:t>Ostalo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_Toc135126339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10</w:t>
            </w:r>
            <w:r w:rsidR="00872DB7">
              <w:rPr>
                <w:webHidden/>
              </w:rPr>
              <w:fldChar w:fldCharType="end"/>
            </w:r>
          </w:hyperlink>
        </w:p>
        <w:p w14:paraId="65706970" w14:textId="663C638F" w:rsidR="00872DB7" w:rsidRDefault="00000000" w:rsidP="0017180E">
          <w:pPr>
            <w:pStyle w:val="TOC3"/>
            <w:rPr>
              <w:rFonts w:asciiTheme="minorHAnsi" w:hAnsiTheme="minorHAnsi" w:cstheme="minorBidi"/>
              <w:sz w:val="22"/>
              <w:szCs w:val="22"/>
            </w:rPr>
          </w:pPr>
          <w:hyperlink w:anchor="_Toc135126340" w:history="1">
            <w:r w:rsidR="00872DB7" w:rsidRPr="0041349A">
              <w:rPr>
                <w:rStyle w:val="Hyperlink"/>
              </w:rPr>
              <w:t>Prilog 1. - Neprihvatljive aktivnosti</w:t>
            </w:r>
            <w:r w:rsidR="00872DB7">
              <w:rPr>
                <w:webHidden/>
              </w:rPr>
              <w:tab/>
            </w:r>
            <w:r w:rsidR="00872DB7">
              <w:rPr>
                <w:webHidden/>
              </w:rPr>
              <w:fldChar w:fldCharType="begin"/>
            </w:r>
            <w:r w:rsidR="00872DB7">
              <w:rPr>
                <w:webHidden/>
              </w:rPr>
              <w:instrText xml:space="preserve"> PAGEREF _Toc135126340 \h </w:instrText>
            </w:r>
            <w:r w:rsidR="00872DB7">
              <w:rPr>
                <w:webHidden/>
              </w:rPr>
            </w:r>
            <w:r w:rsidR="00872DB7">
              <w:rPr>
                <w:webHidden/>
              </w:rPr>
              <w:fldChar w:fldCharType="separate"/>
            </w:r>
            <w:r w:rsidR="00E6765C">
              <w:rPr>
                <w:webHidden/>
              </w:rPr>
              <w:t>11</w:t>
            </w:r>
            <w:r w:rsidR="00872DB7">
              <w:rPr>
                <w:webHidden/>
              </w:rPr>
              <w:fldChar w:fldCharType="end"/>
            </w:r>
          </w:hyperlink>
        </w:p>
        <w:p w14:paraId="5C690E09" w14:textId="59C66C2C" w:rsidR="000B1F6C" w:rsidRPr="00186872" w:rsidRDefault="000B1F6C" w:rsidP="00872DB7">
          <w:pPr>
            <w:pStyle w:val="TOC1"/>
          </w:pPr>
          <w:r w:rsidRPr="00E27923">
            <w:fldChar w:fldCharType="end"/>
          </w:r>
        </w:p>
      </w:sdtContent>
    </w:sdt>
    <w:p w14:paraId="454BDD6B" w14:textId="77777777" w:rsidR="00791D51" w:rsidRPr="00186872" w:rsidRDefault="00791D51">
      <w:pPr>
        <w:rPr>
          <w:rFonts w:cs="Arial"/>
          <w:b/>
          <w:szCs w:val="20"/>
        </w:rPr>
      </w:pPr>
      <w:r w:rsidRPr="00186872">
        <w:rPr>
          <w:rFonts w:cs="Arial"/>
          <w:szCs w:val="20"/>
        </w:rPr>
        <w:br w:type="page"/>
      </w:r>
    </w:p>
    <w:p w14:paraId="02FE4C03" w14:textId="7DCFCFB5" w:rsidR="00A7487F" w:rsidRPr="00FC2DC3" w:rsidRDefault="00857593" w:rsidP="001A4F54">
      <w:pPr>
        <w:pStyle w:val="HeadingA"/>
        <w:numPr>
          <w:ilvl w:val="0"/>
          <w:numId w:val="4"/>
        </w:numPr>
        <w:spacing w:after="240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10" w:name="_Toc534881541"/>
      <w:bookmarkStart w:id="11" w:name="_Toc135126300"/>
      <w:bookmarkStart w:id="12" w:name="_Hlk1478395"/>
      <w:r w:rsidRPr="00FC2DC3">
        <w:rPr>
          <w:rFonts w:ascii="Arial" w:hAnsi="Arial" w:cs="Arial"/>
          <w:sz w:val="24"/>
          <w:szCs w:val="24"/>
        </w:rPr>
        <w:lastRenderedPageBreak/>
        <w:t>K</w:t>
      </w:r>
      <w:r w:rsidR="00ED4465" w:rsidRPr="00FC2DC3">
        <w:rPr>
          <w:rFonts w:ascii="Arial" w:hAnsi="Arial" w:cs="Arial"/>
          <w:sz w:val="24"/>
          <w:szCs w:val="24"/>
        </w:rPr>
        <w:t>orisnici kredita</w:t>
      </w:r>
      <w:bookmarkEnd w:id="10"/>
      <w:bookmarkEnd w:id="11"/>
    </w:p>
    <w:p w14:paraId="23DF63AE" w14:textId="2977D1F4" w:rsidR="00F628DD" w:rsidRPr="00FC2DC3" w:rsidRDefault="00F628DD" w:rsidP="001A4F54">
      <w:pPr>
        <w:pStyle w:val="HeadingA"/>
        <w:numPr>
          <w:ilvl w:val="1"/>
          <w:numId w:val="4"/>
        </w:numPr>
        <w:spacing w:after="240" w:line="276" w:lineRule="auto"/>
        <w:ind w:left="851" w:hanging="567"/>
        <w:outlineLvl w:val="1"/>
        <w:rPr>
          <w:rFonts w:ascii="Arial" w:hAnsi="Arial" w:cs="Arial"/>
          <w:sz w:val="20"/>
          <w:szCs w:val="20"/>
        </w:rPr>
      </w:pPr>
      <w:bookmarkStart w:id="13" w:name="_Toc135126301"/>
      <w:bookmarkStart w:id="14" w:name="_Hlk93619427"/>
      <w:bookmarkStart w:id="15" w:name="_Hlk93329951"/>
      <w:bookmarkStart w:id="16" w:name="_Hlk93408953"/>
      <w:bookmarkEnd w:id="12"/>
      <w:r w:rsidRPr="00FC2DC3">
        <w:rPr>
          <w:rFonts w:ascii="Arial" w:hAnsi="Arial" w:cs="Arial"/>
          <w:sz w:val="20"/>
          <w:szCs w:val="20"/>
        </w:rPr>
        <w:t>Prihvatljivi korisnici kredita</w:t>
      </w:r>
      <w:bookmarkEnd w:id="13"/>
    </w:p>
    <w:bookmarkEnd w:id="14"/>
    <w:p w14:paraId="51F9FCC7" w14:textId="07C2D2CC" w:rsidR="00F375D0" w:rsidRDefault="0094020A" w:rsidP="0094020A">
      <w:pPr>
        <w:spacing w:line="276" w:lineRule="auto"/>
        <w:jc w:val="both"/>
        <w:rPr>
          <w:rFonts w:cs="Arial"/>
          <w:szCs w:val="20"/>
        </w:rPr>
      </w:pPr>
      <w:r w:rsidRPr="0094020A">
        <w:rPr>
          <w:rFonts w:cs="Arial"/>
          <w:szCs w:val="20"/>
        </w:rPr>
        <w:t xml:space="preserve">Prihvatljivi korisnici kredita </w:t>
      </w:r>
      <w:r w:rsidR="00F375D0">
        <w:rPr>
          <w:rFonts w:cs="Arial"/>
          <w:szCs w:val="20"/>
        </w:rPr>
        <w:t xml:space="preserve">odnosno plasmana HBOR-a </w:t>
      </w:r>
      <w:r w:rsidRPr="0094020A">
        <w:rPr>
          <w:rFonts w:cs="Arial"/>
          <w:szCs w:val="20"/>
        </w:rPr>
        <w:t>su</w:t>
      </w:r>
      <w:r w:rsidR="0026482E">
        <w:rPr>
          <w:rFonts w:cs="Arial"/>
          <w:szCs w:val="20"/>
        </w:rPr>
        <w:t xml:space="preserve"> (</w:t>
      </w:r>
      <w:r w:rsidRPr="0094020A">
        <w:rPr>
          <w:rFonts w:cs="Arial"/>
          <w:szCs w:val="20"/>
        </w:rPr>
        <w:t xml:space="preserve">uz ostale uvjete definirane ovim Općim kriterijima prihvatljivosti, </w:t>
      </w:r>
      <w:r w:rsidR="00CB5784" w:rsidRPr="00186872">
        <w:rPr>
          <w:lang w:eastAsia="hr-HR"/>
        </w:rPr>
        <w:t>program</w:t>
      </w:r>
      <w:r w:rsidR="00CB5784">
        <w:rPr>
          <w:lang w:eastAsia="hr-HR"/>
        </w:rPr>
        <w:t>ima</w:t>
      </w:r>
      <w:r w:rsidR="00CB5784" w:rsidRPr="00186872">
        <w:rPr>
          <w:lang w:eastAsia="hr-HR"/>
        </w:rPr>
        <w:t xml:space="preserve"> i proizvod</w:t>
      </w:r>
      <w:r w:rsidR="00CB5784">
        <w:rPr>
          <w:lang w:eastAsia="hr-HR"/>
        </w:rPr>
        <w:t>ima</w:t>
      </w:r>
      <w:r w:rsidR="00CB5784" w:rsidRPr="00186872">
        <w:rPr>
          <w:lang w:eastAsia="hr-HR"/>
        </w:rPr>
        <w:t xml:space="preserve"> HBOR-a</w:t>
      </w:r>
      <w:r w:rsidR="00CB5784">
        <w:rPr>
          <w:rFonts w:cs="Arial"/>
          <w:szCs w:val="20"/>
        </w:rPr>
        <w:t xml:space="preserve"> </w:t>
      </w:r>
      <w:r w:rsidR="0026482E">
        <w:rPr>
          <w:rFonts w:cs="Arial"/>
          <w:szCs w:val="20"/>
        </w:rPr>
        <w:t>i/</w:t>
      </w:r>
      <w:r w:rsidRPr="0094020A">
        <w:rPr>
          <w:rFonts w:cs="Arial"/>
          <w:szCs w:val="20"/>
        </w:rPr>
        <w:t>ili drugim primjenjivim aktima</w:t>
      </w:r>
      <w:r w:rsidR="0084371F">
        <w:rPr>
          <w:rFonts w:cs="Arial"/>
          <w:szCs w:val="20"/>
        </w:rPr>
        <w:t xml:space="preserve"> HBOR-a</w:t>
      </w:r>
      <w:r w:rsidR="0026482E">
        <w:rPr>
          <w:rFonts w:cs="Arial"/>
          <w:szCs w:val="20"/>
        </w:rPr>
        <w:t>)</w:t>
      </w:r>
      <w:r w:rsidRPr="0094020A">
        <w:rPr>
          <w:rFonts w:cs="Arial"/>
          <w:szCs w:val="20"/>
        </w:rPr>
        <w:t xml:space="preserve"> </w:t>
      </w:r>
      <w:r w:rsidR="001D7FCF">
        <w:rPr>
          <w:rFonts w:cs="Arial"/>
          <w:szCs w:val="20"/>
        </w:rPr>
        <w:t xml:space="preserve">su </w:t>
      </w:r>
      <w:r w:rsidRPr="00D3494D">
        <w:rPr>
          <w:rFonts w:cs="Arial"/>
          <w:b/>
          <w:bCs/>
          <w:szCs w:val="20"/>
        </w:rPr>
        <w:t>poslovni subjekti privatnog sektora i poslovni subjekti javnog sektora</w:t>
      </w:r>
      <w:r w:rsidRPr="0094020A">
        <w:rPr>
          <w:rFonts w:cs="Arial"/>
          <w:szCs w:val="20"/>
        </w:rPr>
        <w:t>, pri čemu se</w:t>
      </w:r>
      <w:r w:rsidR="00F375D0">
        <w:rPr>
          <w:rFonts w:cs="Arial"/>
          <w:szCs w:val="20"/>
        </w:rPr>
        <w:t>:</w:t>
      </w:r>
    </w:p>
    <w:p w14:paraId="017229A7" w14:textId="260E6334" w:rsidR="00F375D0" w:rsidRDefault="0084371F" w:rsidP="00F375D0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Arial"/>
          <w:szCs w:val="20"/>
        </w:rPr>
      </w:pPr>
      <w:r w:rsidRPr="00F375D0">
        <w:rPr>
          <w:rFonts w:cs="Arial"/>
          <w:szCs w:val="20"/>
        </w:rPr>
        <w:t>pojam „korisnik</w:t>
      </w:r>
      <w:r w:rsidR="00996FD7">
        <w:rPr>
          <w:rFonts w:cs="Arial"/>
          <w:szCs w:val="20"/>
        </w:rPr>
        <w:t xml:space="preserve"> kredita</w:t>
      </w:r>
      <w:r w:rsidRPr="00F375D0">
        <w:rPr>
          <w:rFonts w:cs="Arial"/>
          <w:szCs w:val="20"/>
        </w:rPr>
        <w:t>“</w:t>
      </w:r>
      <w:r w:rsidR="00996FD7">
        <w:rPr>
          <w:rFonts w:cs="Arial"/>
          <w:szCs w:val="20"/>
        </w:rPr>
        <w:t xml:space="preserve"> ili „krajnji korisnik“</w:t>
      </w:r>
      <w:r w:rsidRPr="00F375D0">
        <w:rPr>
          <w:rFonts w:cs="Arial"/>
          <w:szCs w:val="20"/>
        </w:rPr>
        <w:t xml:space="preserve"> odnosi na fizičku ili pravnu osobu </w:t>
      </w:r>
      <w:r w:rsidR="00F375D0" w:rsidRPr="00F375D0">
        <w:rPr>
          <w:rFonts w:cs="Arial"/>
          <w:szCs w:val="20"/>
        </w:rPr>
        <w:t>koja se financira izravno ili u suradnji s poslovnim bankama ili leasing društvima, uključujući nalogodavca kod izdavanja garancija;</w:t>
      </w:r>
    </w:p>
    <w:p w14:paraId="36E0627D" w14:textId="3732D65F" w:rsidR="0084371F" w:rsidRPr="00F375D0" w:rsidRDefault="00F375D0" w:rsidP="0094020A">
      <w:pPr>
        <w:pStyle w:val="ListParagraph"/>
        <w:numPr>
          <w:ilvl w:val="0"/>
          <w:numId w:val="13"/>
        </w:numPr>
        <w:spacing w:line="276" w:lineRule="auto"/>
        <w:jc w:val="both"/>
        <w:rPr>
          <w:rFonts w:cs="Arial"/>
          <w:szCs w:val="20"/>
        </w:rPr>
      </w:pPr>
      <w:r w:rsidRPr="00F375D0">
        <w:rPr>
          <w:rFonts w:cs="Arial"/>
          <w:szCs w:val="20"/>
        </w:rPr>
        <w:t>pojam „kredit“ ili „plasman“ odnosi na sve kreditne aktivnosti, izravne i neizravne, uključujući izdavanje garancija, kao i sve bankovne proizvode.</w:t>
      </w:r>
      <w:r w:rsidR="0084371F" w:rsidRPr="00F375D0">
        <w:rPr>
          <w:rFonts w:cs="Arial"/>
          <w:szCs w:val="20"/>
        </w:rPr>
        <w:t xml:space="preserve"> </w:t>
      </w:r>
    </w:p>
    <w:p w14:paraId="0FA4100D" w14:textId="5B4BB078" w:rsidR="00ED4465" w:rsidRPr="00186872" w:rsidRDefault="0033615B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17" w:name="_Toc135126302"/>
      <w:r w:rsidRPr="00186872">
        <w:rPr>
          <w:rFonts w:ascii="Arial" w:hAnsi="Arial" w:cs="Arial"/>
          <w:color w:val="auto"/>
          <w:sz w:val="20"/>
          <w:szCs w:val="20"/>
        </w:rPr>
        <w:t xml:space="preserve">Poslovni </w:t>
      </w:r>
      <w:r w:rsidR="00810064" w:rsidRPr="00186872">
        <w:rPr>
          <w:rFonts w:ascii="Arial" w:hAnsi="Arial" w:cs="Arial"/>
          <w:color w:val="auto"/>
          <w:sz w:val="20"/>
          <w:szCs w:val="20"/>
        </w:rPr>
        <w:t>s</w:t>
      </w:r>
      <w:r w:rsidR="00ED4465" w:rsidRPr="00186872">
        <w:rPr>
          <w:rFonts w:ascii="Arial" w:hAnsi="Arial" w:cs="Arial"/>
          <w:color w:val="auto"/>
          <w:sz w:val="20"/>
          <w:szCs w:val="20"/>
        </w:rPr>
        <w:t>ubjekti privatnog sektora</w:t>
      </w:r>
      <w:bookmarkEnd w:id="17"/>
    </w:p>
    <w:p w14:paraId="37FE00BB" w14:textId="76E6BD19" w:rsidR="002707B6" w:rsidRPr="00186872" w:rsidRDefault="00810064" w:rsidP="00200929">
      <w:pPr>
        <w:pStyle w:val="ListParagraph"/>
        <w:spacing w:line="276" w:lineRule="auto"/>
        <w:ind w:left="0"/>
        <w:jc w:val="both"/>
        <w:rPr>
          <w:rFonts w:eastAsia="MS Mincho" w:cs="Arial"/>
          <w:bCs/>
          <w:noProof/>
          <w:szCs w:val="20"/>
          <w:lang w:eastAsia="ja-JP" w:bidi="hr-HR"/>
        </w:rPr>
      </w:pPr>
      <w:bookmarkStart w:id="18" w:name="_Hlk93360984"/>
      <w:bookmarkEnd w:id="15"/>
      <w:r w:rsidRPr="00186872">
        <w:rPr>
          <w:rFonts w:cs="Arial"/>
          <w:bCs/>
          <w:szCs w:val="20"/>
        </w:rPr>
        <w:t>T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>rgovačka društva,</w:t>
      </w:r>
      <w:r w:rsidRPr="00186872" w:rsidDel="00AC0510">
        <w:rPr>
          <w:rFonts w:eastAsia="MS Mincho" w:cs="Arial"/>
          <w:bCs/>
          <w:noProof/>
          <w:szCs w:val="20"/>
          <w:lang w:eastAsia="ja-JP" w:bidi="hr-HR"/>
        </w:rPr>
        <w:t xml:space="preserve"> 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>o</w:t>
      </w:r>
      <w:r w:rsidR="00621757" w:rsidRPr="00186872">
        <w:rPr>
          <w:rFonts w:eastAsia="MS Mincho" w:cs="Arial"/>
          <w:bCs/>
          <w:noProof/>
          <w:szCs w:val="20"/>
          <w:lang w:eastAsia="ja-JP" w:bidi="hr-HR"/>
        </w:rPr>
        <w:t>brt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>nici</w:t>
      </w:r>
      <w:r w:rsidR="00621757" w:rsidRPr="00186872">
        <w:rPr>
          <w:rFonts w:eastAsia="MS Mincho" w:cs="Arial"/>
          <w:bCs/>
          <w:noProof/>
          <w:szCs w:val="20"/>
          <w:lang w:eastAsia="ja-JP" w:bidi="hr-HR"/>
        </w:rPr>
        <w:t xml:space="preserve">, 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>fizičke osobe koje obavljaju samostalnu djelatnost</w:t>
      </w:r>
      <w:r w:rsidR="00621757" w:rsidRPr="00186872">
        <w:rPr>
          <w:rFonts w:eastAsia="MS Mincho" w:cs="Arial"/>
          <w:bCs/>
          <w:noProof/>
          <w:szCs w:val="20"/>
          <w:lang w:eastAsia="ja-JP" w:bidi="hr-HR"/>
        </w:rPr>
        <w:t>, obiteljsk</w:t>
      </w:r>
      <w:r w:rsidR="002A17FA" w:rsidRPr="00186872">
        <w:rPr>
          <w:rFonts w:eastAsia="MS Mincho" w:cs="Arial"/>
          <w:bCs/>
          <w:noProof/>
          <w:szCs w:val="20"/>
          <w:lang w:eastAsia="ja-JP" w:bidi="hr-HR"/>
        </w:rPr>
        <w:t>a poljoprivredna gospodarstva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 xml:space="preserve"> (OPG)</w:t>
      </w:r>
      <w:r w:rsidR="002A17FA" w:rsidRPr="00186872">
        <w:rPr>
          <w:rFonts w:eastAsia="MS Mincho" w:cs="Arial"/>
          <w:bCs/>
          <w:noProof/>
          <w:szCs w:val="20"/>
          <w:lang w:eastAsia="ja-JP" w:bidi="hr-HR"/>
        </w:rPr>
        <w:t>, zadruge i ustanove</w:t>
      </w:r>
      <w:r w:rsidR="001D2ABF" w:rsidRPr="00186872">
        <w:rPr>
          <w:rFonts w:eastAsia="MS Mincho" w:cs="Arial"/>
          <w:bCs/>
          <w:noProof/>
          <w:szCs w:val="20"/>
          <w:lang w:eastAsia="ja-JP" w:bidi="hr-HR"/>
        </w:rPr>
        <w:t>, u privatnom vlasništvu ili u većinskom privatnom vlasništv</w:t>
      </w:r>
      <w:r w:rsidRPr="00186872">
        <w:rPr>
          <w:rFonts w:eastAsia="MS Mincho" w:cs="Arial"/>
          <w:bCs/>
          <w:noProof/>
          <w:szCs w:val="20"/>
          <w:lang w:eastAsia="ja-JP" w:bidi="hr-HR"/>
        </w:rPr>
        <w:t xml:space="preserve">u, koji prema veličini </w:t>
      </w:r>
      <w:r w:rsidRPr="00186872">
        <w:rPr>
          <w:rFonts w:cs="Arial"/>
        </w:rPr>
        <w:t>mogu biti:</w:t>
      </w:r>
    </w:p>
    <w:p w14:paraId="26074899" w14:textId="5653B112" w:rsidR="00810064" w:rsidRPr="00186872" w:rsidRDefault="00AC0510" w:rsidP="003E6B2A">
      <w:pPr>
        <w:pStyle w:val="HeadingA"/>
        <w:numPr>
          <w:ilvl w:val="0"/>
          <w:numId w:val="0"/>
        </w:numPr>
        <w:spacing w:before="120" w:after="0" w:line="276" w:lineRule="auto"/>
        <w:ind w:firstLine="720"/>
        <w:outlineLvl w:val="2"/>
        <w:rPr>
          <w:rFonts w:ascii="Arial" w:hAnsi="Arial" w:cs="Arial"/>
          <w:color w:val="auto"/>
          <w:sz w:val="20"/>
          <w:szCs w:val="20"/>
        </w:rPr>
      </w:pPr>
      <w:bookmarkStart w:id="19" w:name="_Toc135126303"/>
      <w:bookmarkStart w:id="20" w:name="_Hlk93361206"/>
      <w:bookmarkEnd w:id="18"/>
      <w:r w:rsidRPr="00186872">
        <w:rPr>
          <w:rFonts w:ascii="Arial" w:hAnsi="Arial" w:cs="Arial"/>
          <w:color w:val="auto"/>
          <w:sz w:val="20"/>
          <w:szCs w:val="20"/>
        </w:rPr>
        <w:t>Mikro, mali i srednji poduzetnici</w:t>
      </w:r>
      <w:bookmarkEnd w:id="19"/>
    </w:p>
    <w:p w14:paraId="1B7697C6" w14:textId="6EE14092" w:rsidR="00AC0510" w:rsidRPr="00186872" w:rsidRDefault="00810064" w:rsidP="00370249">
      <w:pPr>
        <w:pStyle w:val="ListParagraph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bCs/>
          <w:szCs w:val="20"/>
        </w:rPr>
        <w:t>P</w:t>
      </w:r>
      <w:r w:rsidR="00AC0510" w:rsidRPr="00186872">
        <w:rPr>
          <w:rFonts w:cs="Arial"/>
          <w:szCs w:val="20"/>
        </w:rPr>
        <w:t xml:space="preserve">oslovni subjekti </w:t>
      </w:r>
      <w:r w:rsidR="00241242" w:rsidRPr="00186872">
        <w:rPr>
          <w:rFonts w:cs="Arial"/>
          <w:szCs w:val="20"/>
        </w:rPr>
        <w:t>privatnog sektora</w:t>
      </w:r>
      <w:r w:rsidR="009C72A4" w:rsidRPr="00186872">
        <w:rPr>
          <w:rFonts w:cs="Arial"/>
          <w:szCs w:val="20"/>
        </w:rPr>
        <w:t xml:space="preserve"> koji zapošljavaju </w:t>
      </w:r>
      <w:r w:rsidR="00AC03A9" w:rsidRPr="00186872">
        <w:rPr>
          <w:rFonts w:cs="Arial"/>
          <w:szCs w:val="20"/>
        </w:rPr>
        <w:t>manje od</w:t>
      </w:r>
      <w:r w:rsidR="009C72A4" w:rsidRPr="00186872">
        <w:rPr>
          <w:rFonts w:cs="Arial"/>
          <w:szCs w:val="20"/>
        </w:rPr>
        <w:t xml:space="preserve"> 250 zaposlenih</w:t>
      </w:r>
      <w:r w:rsidR="00AC03A9" w:rsidRPr="00186872">
        <w:rPr>
          <w:rFonts w:cs="Arial"/>
          <w:szCs w:val="20"/>
        </w:rPr>
        <w:t xml:space="preserve"> </w:t>
      </w:r>
      <w:r w:rsidR="00EB300A" w:rsidRPr="00186872">
        <w:rPr>
          <w:rFonts w:cs="Arial"/>
          <w:szCs w:val="20"/>
        </w:rPr>
        <w:t>i imaju godišnji promet koji ne prelazi 50 milijuna EUR i/ili godišnju bilancu koja ne prelazi 43 milijuna EUR prema zadnjim dostupnim godišnjim financijskim izvještajima</w:t>
      </w:r>
      <w:r w:rsidR="00473716" w:rsidRPr="00186872">
        <w:rPr>
          <w:rFonts w:cs="Arial"/>
          <w:szCs w:val="20"/>
        </w:rPr>
        <w:t xml:space="preserve">, čija se veličina utvrđuje </w:t>
      </w:r>
      <w:r w:rsidR="001946A8" w:rsidRPr="001946A8">
        <w:rPr>
          <w:rFonts w:cs="Arial"/>
          <w:szCs w:val="20"/>
        </w:rPr>
        <w:t xml:space="preserve">u skladu s </w:t>
      </w:r>
      <w:bookmarkStart w:id="21" w:name="_Hlk135318449"/>
      <w:r w:rsidR="001946A8" w:rsidRPr="001946A8">
        <w:rPr>
          <w:rFonts w:cs="Arial"/>
          <w:szCs w:val="20"/>
        </w:rPr>
        <w:t>Preporukom Europske komisije 2003/361/EC od 6.5.2003. o definiciji mikro, malih i srednjih poduzetnika (SL L 124, 20.5.2003.)</w:t>
      </w:r>
      <w:bookmarkEnd w:id="21"/>
      <w:r w:rsidR="001946A8" w:rsidRPr="001946A8">
        <w:rPr>
          <w:rFonts w:cs="Arial"/>
          <w:szCs w:val="20"/>
        </w:rPr>
        <w:t xml:space="preserve"> </w:t>
      </w:r>
      <w:r w:rsidR="001946A8" w:rsidRPr="004701A6">
        <w:rPr>
          <w:rFonts w:cs="Arial"/>
          <w:szCs w:val="20"/>
        </w:rPr>
        <w:t>(dalje: Preporuka EK)</w:t>
      </w:r>
      <w:r w:rsidR="001946A8" w:rsidRPr="001946A8">
        <w:rPr>
          <w:rFonts w:cs="Arial"/>
          <w:szCs w:val="20"/>
        </w:rPr>
        <w:t>.</w:t>
      </w:r>
    </w:p>
    <w:p w14:paraId="6082FFE0" w14:textId="3426970D" w:rsidR="000D360E" w:rsidRPr="00186872" w:rsidRDefault="00915DC1" w:rsidP="003E6B2A">
      <w:pPr>
        <w:pStyle w:val="HeadingA"/>
        <w:numPr>
          <w:ilvl w:val="0"/>
          <w:numId w:val="0"/>
        </w:numPr>
        <w:spacing w:before="120" w:after="0" w:line="276" w:lineRule="auto"/>
        <w:ind w:firstLine="720"/>
        <w:outlineLvl w:val="2"/>
        <w:rPr>
          <w:rFonts w:ascii="Arial" w:hAnsi="Arial" w:cs="Arial"/>
          <w:color w:val="auto"/>
          <w:sz w:val="20"/>
          <w:szCs w:val="20"/>
        </w:rPr>
      </w:pPr>
      <w:bookmarkStart w:id="22" w:name="_Toc135126304"/>
      <w:r w:rsidRPr="00186872">
        <w:rPr>
          <w:rFonts w:ascii="Arial" w:hAnsi="Arial" w:cs="Arial"/>
          <w:color w:val="auto"/>
          <w:sz w:val="20"/>
          <w:szCs w:val="20"/>
        </w:rPr>
        <w:t>Subjekti srednje tržišne kapitalizacije</w:t>
      </w:r>
      <w:bookmarkEnd w:id="22"/>
    </w:p>
    <w:p w14:paraId="0B1B4EFB" w14:textId="061A04F3" w:rsidR="00AC0510" w:rsidRPr="00186872" w:rsidRDefault="000D360E" w:rsidP="00370249">
      <w:pPr>
        <w:pStyle w:val="ListParagraph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P</w:t>
      </w:r>
      <w:r w:rsidR="00AC0510" w:rsidRPr="00186872">
        <w:rPr>
          <w:rFonts w:cs="Arial"/>
          <w:szCs w:val="20"/>
        </w:rPr>
        <w:t xml:space="preserve">oslovni subjekti privatnog sektora </w:t>
      </w:r>
      <w:r w:rsidR="00473716" w:rsidRPr="00186872">
        <w:rPr>
          <w:rFonts w:cs="Arial"/>
          <w:szCs w:val="20"/>
        </w:rPr>
        <w:t>koji zapošljavaju od</w:t>
      </w:r>
      <w:r w:rsidR="00241242" w:rsidRPr="00186872">
        <w:rPr>
          <w:rFonts w:cs="Arial"/>
          <w:szCs w:val="20"/>
        </w:rPr>
        <w:t xml:space="preserve"> </w:t>
      </w:r>
      <w:r w:rsidR="00AC0510" w:rsidRPr="00186872">
        <w:rPr>
          <w:rFonts w:cs="Arial"/>
          <w:szCs w:val="20"/>
        </w:rPr>
        <w:t>250 do 2.999 zaposlenih</w:t>
      </w:r>
      <w:r w:rsidR="00AC03A9" w:rsidRPr="00186872">
        <w:rPr>
          <w:rFonts w:cs="Arial"/>
          <w:szCs w:val="20"/>
        </w:rPr>
        <w:t xml:space="preserve"> </w:t>
      </w:r>
      <w:r w:rsidR="000A54F6" w:rsidRPr="00186872">
        <w:rPr>
          <w:rFonts w:cs="Arial"/>
          <w:szCs w:val="20"/>
        </w:rPr>
        <w:t>prema zadnjim dostupnim godišnjim financijskim izvještajima</w:t>
      </w:r>
      <w:r w:rsidR="00AC0510" w:rsidRPr="00186872">
        <w:rPr>
          <w:rFonts w:cs="Arial"/>
          <w:szCs w:val="20"/>
        </w:rPr>
        <w:t xml:space="preserve">, </w:t>
      </w:r>
      <w:bookmarkStart w:id="23" w:name="_Hlk93329755"/>
      <w:r w:rsidR="00AC0510" w:rsidRPr="00186872">
        <w:rPr>
          <w:rFonts w:cs="Arial"/>
          <w:szCs w:val="20"/>
        </w:rPr>
        <w:t xml:space="preserve">a koji po </w:t>
      </w:r>
      <w:r w:rsidR="00473716" w:rsidRPr="00186872">
        <w:rPr>
          <w:rFonts w:cs="Arial"/>
          <w:szCs w:val="20"/>
        </w:rPr>
        <w:t xml:space="preserve">svojoj veličini, vlasništvu, broju zaposlenih i </w:t>
      </w:r>
      <w:r w:rsidR="00AC0510" w:rsidRPr="00186872">
        <w:rPr>
          <w:rFonts w:cs="Arial"/>
          <w:szCs w:val="20"/>
        </w:rPr>
        <w:t>ostalim uvjetima ne ulaze u kategoriju mikro, malih i srednjih podu</w:t>
      </w:r>
      <w:r w:rsidR="00351566" w:rsidRPr="00186872">
        <w:rPr>
          <w:rFonts w:cs="Arial"/>
          <w:szCs w:val="20"/>
        </w:rPr>
        <w:t>zetnika</w:t>
      </w:r>
      <w:r w:rsidR="00AC0510" w:rsidRPr="00186872">
        <w:rPr>
          <w:rFonts w:cs="Arial"/>
          <w:szCs w:val="20"/>
        </w:rPr>
        <w:t xml:space="preserve"> </w:t>
      </w:r>
      <w:r w:rsidR="001946A8">
        <w:rPr>
          <w:rFonts w:cs="Arial"/>
          <w:szCs w:val="20"/>
        </w:rPr>
        <w:t>u skladu s Preporukom EK</w:t>
      </w:r>
      <w:r w:rsidR="00241242" w:rsidRPr="00186872">
        <w:rPr>
          <w:rFonts w:cs="Arial"/>
          <w:szCs w:val="20"/>
        </w:rPr>
        <w:t>.</w:t>
      </w:r>
      <w:bookmarkEnd w:id="23"/>
    </w:p>
    <w:p w14:paraId="62D0DB4C" w14:textId="70132A98" w:rsidR="000D360E" w:rsidRPr="00186872" w:rsidRDefault="00AC0510" w:rsidP="003E6B2A">
      <w:pPr>
        <w:pStyle w:val="HeadingA"/>
        <w:numPr>
          <w:ilvl w:val="0"/>
          <w:numId w:val="0"/>
        </w:numPr>
        <w:spacing w:before="120" w:after="0" w:line="276" w:lineRule="auto"/>
        <w:ind w:firstLine="720"/>
        <w:outlineLvl w:val="2"/>
        <w:rPr>
          <w:rFonts w:ascii="Arial" w:hAnsi="Arial" w:cs="Arial"/>
          <w:color w:val="auto"/>
          <w:sz w:val="20"/>
          <w:szCs w:val="20"/>
        </w:rPr>
      </w:pPr>
      <w:bookmarkStart w:id="24" w:name="_Toc135126305"/>
      <w:r w:rsidRPr="00186872">
        <w:rPr>
          <w:rFonts w:ascii="Arial" w:hAnsi="Arial" w:cs="Arial"/>
          <w:color w:val="auto"/>
          <w:sz w:val="20"/>
          <w:szCs w:val="20"/>
        </w:rPr>
        <w:t xml:space="preserve">Veliki </w:t>
      </w:r>
      <w:r w:rsidR="00142A15" w:rsidRPr="00186872">
        <w:rPr>
          <w:rFonts w:ascii="Arial" w:hAnsi="Arial" w:cs="Arial"/>
          <w:color w:val="auto"/>
          <w:sz w:val="20"/>
          <w:szCs w:val="20"/>
        </w:rPr>
        <w:t>poslovni subjekti</w:t>
      </w:r>
      <w:bookmarkEnd w:id="24"/>
    </w:p>
    <w:p w14:paraId="567BA632" w14:textId="00681A06" w:rsidR="009C72A4" w:rsidRPr="00186872" w:rsidRDefault="000D360E" w:rsidP="009C72A4">
      <w:pPr>
        <w:pStyle w:val="ListParagraph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P</w:t>
      </w:r>
      <w:r w:rsidR="00AC0510" w:rsidRPr="00186872">
        <w:rPr>
          <w:rFonts w:cs="Arial"/>
          <w:szCs w:val="20"/>
        </w:rPr>
        <w:t xml:space="preserve">oslovni subjekti privatnog sektora </w:t>
      </w:r>
      <w:r w:rsidR="00473716" w:rsidRPr="00186872">
        <w:rPr>
          <w:rFonts w:cs="Arial"/>
          <w:szCs w:val="20"/>
        </w:rPr>
        <w:t>koji zapošljavaju</w:t>
      </w:r>
      <w:r w:rsidR="00AC0510" w:rsidRPr="00186872">
        <w:rPr>
          <w:rFonts w:cs="Arial"/>
          <w:szCs w:val="20"/>
        </w:rPr>
        <w:t xml:space="preserve"> 3.000 i više zaposlenih</w:t>
      </w:r>
      <w:r w:rsidR="00AC03A9" w:rsidRPr="00186872">
        <w:rPr>
          <w:rFonts w:cs="Arial"/>
          <w:szCs w:val="20"/>
        </w:rPr>
        <w:t xml:space="preserve"> </w:t>
      </w:r>
      <w:r w:rsidR="000A54F6" w:rsidRPr="00186872">
        <w:rPr>
          <w:rFonts w:cs="Arial"/>
          <w:szCs w:val="20"/>
        </w:rPr>
        <w:t>prema zadnjim dostupnim godišnjim financijskim izvještajima</w:t>
      </w:r>
      <w:r w:rsidR="00AC0510" w:rsidRPr="00186872">
        <w:rPr>
          <w:rFonts w:cs="Arial"/>
          <w:szCs w:val="20"/>
        </w:rPr>
        <w:t xml:space="preserve">, </w:t>
      </w:r>
      <w:bookmarkStart w:id="25" w:name="_Hlk93310365"/>
      <w:bookmarkEnd w:id="20"/>
      <w:r w:rsidR="009C72A4" w:rsidRPr="00186872">
        <w:rPr>
          <w:rFonts w:cs="Arial"/>
          <w:szCs w:val="20"/>
        </w:rPr>
        <w:t xml:space="preserve">a koji po svojoj veličini, vlasništvu, broju zaposlenih i ostalim uvjetima ne ulaze u kategoriju mikro, malih i srednjih poduzetnika </w:t>
      </w:r>
      <w:r w:rsidR="001946A8">
        <w:rPr>
          <w:rFonts w:cs="Arial"/>
          <w:szCs w:val="20"/>
        </w:rPr>
        <w:t>u skladu s Preporukom EK</w:t>
      </w:r>
      <w:r w:rsidR="009C72A4" w:rsidRPr="00186872">
        <w:rPr>
          <w:rFonts w:cs="Arial"/>
          <w:szCs w:val="20"/>
        </w:rPr>
        <w:t xml:space="preserve">. </w:t>
      </w:r>
    </w:p>
    <w:p w14:paraId="0CA45EA2" w14:textId="26579648" w:rsidR="002707B6" w:rsidRPr="00186872" w:rsidRDefault="002707B6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26" w:name="_Toc135126306"/>
      <w:r w:rsidRPr="00186872">
        <w:rPr>
          <w:rFonts w:ascii="Arial" w:hAnsi="Arial" w:cs="Arial"/>
          <w:color w:val="auto"/>
          <w:sz w:val="20"/>
          <w:szCs w:val="20"/>
        </w:rPr>
        <w:t>Subjekti javnog sektora</w:t>
      </w:r>
      <w:bookmarkEnd w:id="26"/>
      <w:r w:rsidRPr="00186872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02E8E7D" w14:textId="280598FB" w:rsidR="000E4F10" w:rsidRPr="00186872" w:rsidRDefault="00810064" w:rsidP="00200929">
      <w:pPr>
        <w:spacing w:line="276" w:lineRule="auto"/>
        <w:jc w:val="both"/>
        <w:rPr>
          <w:rFonts w:cs="Arial"/>
          <w:bCs/>
          <w:szCs w:val="20"/>
        </w:rPr>
      </w:pPr>
      <w:r w:rsidRPr="00186872">
        <w:rPr>
          <w:rFonts w:cs="Arial"/>
          <w:bCs/>
          <w:szCs w:val="20"/>
        </w:rPr>
        <w:t>J</w:t>
      </w:r>
      <w:bookmarkEnd w:id="25"/>
      <w:r w:rsidR="000E4F10" w:rsidRPr="00186872">
        <w:rPr>
          <w:rFonts w:cs="Arial"/>
          <w:bCs/>
          <w:szCs w:val="20"/>
        </w:rPr>
        <w:t>edinice lokalne i područne (regionalne) samouprave (općine, gradovi i županije) te društva, ustanove i agencije u njihovom vlasništvu ili većinskom vlasništvu i/ili vlasništvu ili većinskom vlasništvu RH.</w:t>
      </w:r>
    </w:p>
    <w:p w14:paraId="64F363E6" w14:textId="7080AB05" w:rsidR="00ED4465" w:rsidRPr="00BF42EE" w:rsidRDefault="00ED4465" w:rsidP="001A4F54">
      <w:pPr>
        <w:pStyle w:val="HeadingA"/>
        <w:numPr>
          <w:ilvl w:val="1"/>
          <w:numId w:val="4"/>
        </w:numPr>
        <w:spacing w:after="240" w:line="276" w:lineRule="auto"/>
        <w:ind w:left="851" w:hanging="567"/>
        <w:outlineLvl w:val="1"/>
        <w:rPr>
          <w:rFonts w:ascii="Arial" w:hAnsi="Arial" w:cs="Arial"/>
          <w:sz w:val="20"/>
          <w:szCs w:val="20"/>
        </w:rPr>
      </w:pPr>
      <w:bookmarkStart w:id="27" w:name="_Toc135126307"/>
      <w:bookmarkStart w:id="28" w:name="_Hlk93343167"/>
      <w:bookmarkEnd w:id="16"/>
      <w:r w:rsidRPr="00BF42EE">
        <w:rPr>
          <w:rFonts w:ascii="Arial" w:hAnsi="Arial" w:cs="Arial"/>
          <w:sz w:val="20"/>
          <w:szCs w:val="20"/>
        </w:rPr>
        <w:t>Posebne ciljne skupine</w:t>
      </w:r>
      <w:bookmarkEnd w:id="27"/>
    </w:p>
    <w:p w14:paraId="4AF211E4" w14:textId="1CF0B091" w:rsidR="002707B6" w:rsidRPr="00186872" w:rsidRDefault="002707B6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29" w:name="_Toc135126308"/>
      <w:bookmarkEnd w:id="28"/>
      <w:r w:rsidRPr="00186872">
        <w:rPr>
          <w:rFonts w:ascii="Arial" w:hAnsi="Arial" w:cs="Arial"/>
          <w:color w:val="auto"/>
          <w:sz w:val="20"/>
          <w:szCs w:val="20"/>
        </w:rPr>
        <w:t>Mladi poduzetnici</w:t>
      </w:r>
      <w:bookmarkEnd w:id="29"/>
    </w:p>
    <w:p w14:paraId="2D73EF17" w14:textId="640D07C0" w:rsidR="0069737D" w:rsidRPr="00186872" w:rsidRDefault="00ED4465" w:rsidP="00200929">
      <w:pPr>
        <w:spacing w:line="276" w:lineRule="auto"/>
        <w:jc w:val="both"/>
        <w:rPr>
          <w:rFonts w:cs="Arial"/>
          <w:b/>
          <w:szCs w:val="20"/>
        </w:rPr>
      </w:pPr>
      <w:bookmarkStart w:id="30" w:name="_Hlk536779873"/>
      <w:bookmarkStart w:id="31" w:name="_Hlk530744351"/>
      <w:r w:rsidRPr="00186872">
        <w:rPr>
          <w:rFonts w:cs="Arial"/>
          <w:szCs w:val="20"/>
        </w:rPr>
        <w:t>P</w:t>
      </w:r>
      <w:r w:rsidR="002C63D6" w:rsidRPr="00186872">
        <w:rPr>
          <w:rFonts w:cs="Arial"/>
          <w:szCs w:val="20"/>
        </w:rPr>
        <w:t xml:space="preserve">oslovni subjekti </w:t>
      </w:r>
      <w:r w:rsidR="0069737D" w:rsidRPr="00186872">
        <w:rPr>
          <w:rFonts w:cs="Arial"/>
          <w:szCs w:val="20"/>
        </w:rPr>
        <w:t>u kojima</w:t>
      </w:r>
      <w:r w:rsidR="001953B2" w:rsidRPr="00186872">
        <w:rPr>
          <w:rFonts w:cs="Arial"/>
          <w:szCs w:val="20"/>
        </w:rPr>
        <w:t xml:space="preserve"> najmanje</w:t>
      </w:r>
      <w:r w:rsidR="0069737D" w:rsidRPr="00186872">
        <w:rPr>
          <w:rFonts w:cs="Arial"/>
          <w:szCs w:val="20"/>
        </w:rPr>
        <w:t xml:space="preserve"> jedna </w:t>
      </w:r>
      <w:r w:rsidR="00482F11" w:rsidRPr="00186872">
        <w:rPr>
          <w:rFonts w:cs="Arial"/>
          <w:szCs w:val="20"/>
        </w:rPr>
        <w:t xml:space="preserve">ili više </w:t>
      </w:r>
      <w:r w:rsidR="008C4F1B" w:rsidRPr="00186872">
        <w:rPr>
          <w:rFonts w:cs="Arial"/>
          <w:szCs w:val="20"/>
        </w:rPr>
        <w:t>mlad</w:t>
      </w:r>
      <w:r w:rsidR="00482F11" w:rsidRPr="00186872">
        <w:rPr>
          <w:rFonts w:cs="Arial"/>
          <w:szCs w:val="20"/>
        </w:rPr>
        <w:t>ih</w:t>
      </w:r>
      <w:r w:rsidR="008C4F1B" w:rsidRPr="00186872">
        <w:rPr>
          <w:rFonts w:cs="Arial"/>
          <w:szCs w:val="20"/>
        </w:rPr>
        <w:t xml:space="preserve"> </w:t>
      </w:r>
      <w:r w:rsidR="0069737D" w:rsidRPr="00186872">
        <w:rPr>
          <w:rFonts w:cs="Arial"/>
          <w:szCs w:val="20"/>
        </w:rPr>
        <w:t>osoba</w:t>
      </w:r>
      <w:r w:rsidR="008C4F1B" w:rsidRPr="00186872">
        <w:rPr>
          <w:rFonts w:cs="Arial"/>
          <w:szCs w:val="20"/>
        </w:rPr>
        <w:t xml:space="preserve"> (</w:t>
      </w:r>
      <w:r w:rsidR="00AC6FF2" w:rsidRPr="00186872">
        <w:rPr>
          <w:rFonts w:cs="Arial"/>
          <w:szCs w:val="20"/>
        </w:rPr>
        <w:t xml:space="preserve">u dobnoj skupini do </w:t>
      </w:r>
      <w:r w:rsidR="00482F11" w:rsidRPr="00186872">
        <w:rPr>
          <w:rFonts w:cs="Arial"/>
          <w:szCs w:val="20"/>
        </w:rPr>
        <w:t xml:space="preserve">navršenih </w:t>
      </w:r>
      <w:r w:rsidR="00816C07" w:rsidRPr="00186872">
        <w:rPr>
          <w:rFonts w:cs="Arial"/>
          <w:szCs w:val="20"/>
        </w:rPr>
        <w:t>40</w:t>
      </w:r>
      <w:r w:rsidR="00AC6FF2" w:rsidRPr="00186872">
        <w:rPr>
          <w:rFonts w:cs="Arial"/>
          <w:szCs w:val="20"/>
        </w:rPr>
        <w:t xml:space="preserve"> godina života</w:t>
      </w:r>
      <w:r w:rsidR="008C4F1B" w:rsidRPr="00186872">
        <w:rPr>
          <w:rFonts w:cs="Arial"/>
          <w:szCs w:val="20"/>
        </w:rPr>
        <w:t xml:space="preserve"> u trenutku podnošenja zahtjeva za kredit)</w:t>
      </w:r>
      <w:r w:rsidR="00AC6FF2" w:rsidRPr="00186872">
        <w:rPr>
          <w:rFonts w:cs="Arial"/>
          <w:szCs w:val="20"/>
        </w:rPr>
        <w:t xml:space="preserve"> </w:t>
      </w:r>
      <w:r w:rsidR="00482F11" w:rsidRPr="00186872">
        <w:rPr>
          <w:rFonts w:cs="Arial"/>
          <w:szCs w:val="20"/>
        </w:rPr>
        <w:t xml:space="preserve">zajedno </w:t>
      </w:r>
      <w:r w:rsidR="0069737D" w:rsidRPr="00186872">
        <w:rPr>
          <w:rFonts w:cs="Arial"/>
          <w:szCs w:val="20"/>
        </w:rPr>
        <w:t>posjeduj</w:t>
      </w:r>
      <w:r w:rsidR="00482F11" w:rsidRPr="00186872">
        <w:rPr>
          <w:rFonts w:cs="Arial"/>
          <w:szCs w:val="20"/>
        </w:rPr>
        <w:t>u</w:t>
      </w:r>
      <w:r w:rsidR="008C4F1B" w:rsidRPr="00186872">
        <w:rPr>
          <w:rFonts w:cs="Arial"/>
          <w:szCs w:val="20"/>
        </w:rPr>
        <w:t xml:space="preserve"> </w:t>
      </w:r>
      <w:r w:rsidR="00F519B5" w:rsidRPr="00186872">
        <w:rPr>
          <w:rFonts w:cs="Arial"/>
          <w:szCs w:val="20"/>
        </w:rPr>
        <w:t>više od 50%</w:t>
      </w:r>
      <w:r w:rsidR="0069737D" w:rsidRPr="00186872">
        <w:rPr>
          <w:rFonts w:cs="Arial"/>
          <w:szCs w:val="20"/>
        </w:rPr>
        <w:t xml:space="preserve"> </w:t>
      </w:r>
      <w:r w:rsidR="00284C12" w:rsidRPr="00186872">
        <w:rPr>
          <w:rFonts w:cs="Arial"/>
          <w:szCs w:val="20"/>
        </w:rPr>
        <w:t>vlasništv</w:t>
      </w:r>
      <w:r w:rsidR="008C4F1B" w:rsidRPr="00186872">
        <w:rPr>
          <w:rFonts w:cs="Arial"/>
          <w:szCs w:val="20"/>
        </w:rPr>
        <w:t>a</w:t>
      </w:r>
      <w:r w:rsidR="00941A73" w:rsidRPr="00186872">
        <w:rPr>
          <w:rFonts w:cs="Arial"/>
          <w:szCs w:val="20"/>
        </w:rPr>
        <w:t>.</w:t>
      </w:r>
    </w:p>
    <w:p w14:paraId="55F422F6" w14:textId="171854C8" w:rsidR="002707B6" w:rsidRPr="00186872" w:rsidRDefault="002707B6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32" w:name="_Toc135126309"/>
      <w:bookmarkStart w:id="33" w:name="_Hlk93330212"/>
      <w:r w:rsidRPr="00186872">
        <w:rPr>
          <w:rFonts w:ascii="Arial" w:hAnsi="Arial" w:cs="Arial"/>
          <w:color w:val="auto"/>
          <w:sz w:val="20"/>
          <w:szCs w:val="20"/>
        </w:rPr>
        <w:t>Žene poduzetnice</w:t>
      </w:r>
      <w:bookmarkEnd w:id="32"/>
    </w:p>
    <w:p w14:paraId="3F9C465B" w14:textId="56C7223F" w:rsidR="00944E75" w:rsidRPr="00186872" w:rsidRDefault="00ED4465" w:rsidP="00200929">
      <w:pPr>
        <w:spacing w:line="276" w:lineRule="auto"/>
        <w:jc w:val="both"/>
        <w:rPr>
          <w:rFonts w:cs="Arial"/>
          <w:szCs w:val="20"/>
        </w:rPr>
      </w:pPr>
      <w:bookmarkStart w:id="34" w:name="_Hlk1725227"/>
      <w:bookmarkEnd w:id="33"/>
      <w:r w:rsidRPr="00186872">
        <w:rPr>
          <w:rFonts w:cs="Arial"/>
          <w:szCs w:val="20"/>
        </w:rPr>
        <w:t>P</w:t>
      </w:r>
      <w:r w:rsidR="002C63D6" w:rsidRPr="00186872">
        <w:rPr>
          <w:rFonts w:cs="Arial"/>
          <w:szCs w:val="20"/>
        </w:rPr>
        <w:t xml:space="preserve">oslovni subjekti </w:t>
      </w:r>
      <w:r w:rsidR="0069737D" w:rsidRPr="00186872">
        <w:rPr>
          <w:rFonts w:cs="Arial"/>
          <w:szCs w:val="20"/>
        </w:rPr>
        <w:t>u kojima</w:t>
      </w:r>
      <w:r w:rsidR="001953B2" w:rsidRPr="00186872">
        <w:rPr>
          <w:rFonts w:cs="Arial"/>
          <w:szCs w:val="20"/>
        </w:rPr>
        <w:t xml:space="preserve"> najmanje</w:t>
      </w:r>
      <w:r w:rsidR="0069737D" w:rsidRPr="00186872">
        <w:rPr>
          <w:rFonts w:cs="Arial"/>
          <w:szCs w:val="20"/>
        </w:rPr>
        <w:t xml:space="preserve"> jedna </w:t>
      </w:r>
      <w:r w:rsidR="00482F11" w:rsidRPr="00186872">
        <w:rPr>
          <w:rFonts w:cs="Arial"/>
          <w:szCs w:val="20"/>
        </w:rPr>
        <w:t xml:space="preserve">ili više </w:t>
      </w:r>
      <w:r w:rsidR="001953B2" w:rsidRPr="00186872">
        <w:rPr>
          <w:rFonts w:cs="Arial"/>
          <w:szCs w:val="20"/>
        </w:rPr>
        <w:t xml:space="preserve">žena </w:t>
      </w:r>
      <w:r w:rsidR="00482F11" w:rsidRPr="00186872">
        <w:rPr>
          <w:rFonts w:cs="Arial"/>
          <w:szCs w:val="20"/>
        </w:rPr>
        <w:t xml:space="preserve">zajedno </w:t>
      </w:r>
      <w:r w:rsidR="0069737D" w:rsidRPr="00186872">
        <w:rPr>
          <w:rFonts w:cs="Arial"/>
          <w:szCs w:val="20"/>
        </w:rPr>
        <w:t>posjeduj</w:t>
      </w:r>
      <w:r w:rsidR="00482F11" w:rsidRPr="00186872">
        <w:rPr>
          <w:rFonts w:cs="Arial"/>
          <w:szCs w:val="20"/>
        </w:rPr>
        <w:t>u</w:t>
      </w:r>
      <w:r w:rsidR="0069737D" w:rsidRPr="00186872">
        <w:rPr>
          <w:rFonts w:cs="Arial"/>
          <w:szCs w:val="20"/>
        </w:rPr>
        <w:t xml:space="preserve"> </w:t>
      </w:r>
      <w:r w:rsidR="00F519B5" w:rsidRPr="00186872">
        <w:rPr>
          <w:rFonts w:cs="Arial"/>
          <w:szCs w:val="20"/>
        </w:rPr>
        <w:t>više od 50%</w:t>
      </w:r>
      <w:r w:rsidR="0069737D" w:rsidRPr="00186872">
        <w:rPr>
          <w:rFonts w:cs="Arial"/>
          <w:szCs w:val="20"/>
        </w:rPr>
        <w:t xml:space="preserve"> </w:t>
      </w:r>
      <w:r w:rsidR="00284C12" w:rsidRPr="00186872">
        <w:rPr>
          <w:rFonts w:cs="Arial"/>
          <w:szCs w:val="20"/>
        </w:rPr>
        <w:t>vlasništva</w:t>
      </w:r>
      <w:r w:rsidR="000C77EA" w:rsidRPr="00186872">
        <w:rPr>
          <w:rFonts w:cs="Arial"/>
          <w:szCs w:val="20"/>
        </w:rPr>
        <w:t xml:space="preserve"> i kojima ujedno upravlja žena</w:t>
      </w:r>
      <w:r w:rsidR="003C0998" w:rsidRPr="00186872">
        <w:rPr>
          <w:rFonts w:cs="Arial"/>
          <w:szCs w:val="20"/>
        </w:rPr>
        <w:t>.</w:t>
      </w:r>
      <w:r w:rsidR="00944E75" w:rsidRPr="00186872">
        <w:rPr>
          <w:rFonts w:ascii="Calibri" w:eastAsiaTheme="minorHAnsi" w:hAnsi="Calibri" w:cs="Calibri"/>
          <w:sz w:val="22"/>
        </w:rPr>
        <w:t xml:space="preserve"> </w:t>
      </w:r>
      <w:r w:rsidR="00944E75" w:rsidRPr="00186872">
        <w:rPr>
          <w:rFonts w:cs="Arial"/>
          <w:szCs w:val="20"/>
        </w:rPr>
        <w:t>U slučaju poduzeća koje nije mikro ili malo, žena ili žene zajedno mogu imati i manje od 50% vlasništva uz uvjet da je najmanje jedna žena na nekoj od ključnih upravljačkih pozicija vezanoj za financije i/ili operativne poslove i/ili strategiju.</w:t>
      </w:r>
    </w:p>
    <w:p w14:paraId="631DC496" w14:textId="77777777" w:rsidR="005C1CE0" w:rsidRDefault="005C1CE0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</w:p>
    <w:p w14:paraId="44FB6313" w14:textId="17AD0176" w:rsidR="002707B6" w:rsidRPr="00186872" w:rsidRDefault="002707B6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35" w:name="_Toc135126310"/>
      <w:r w:rsidRPr="00186872">
        <w:rPr>
          <w:rFonts w:ascii="Arial" w:hAnsi="Arial" w:cs="Arial"/>
          <w:color w:val="auto"/>
          <w:sz w:val="20"/>
          <w:szCs w:val="20"/>
        </w:rPr>
        <w:lastRenderedPageBreak/>
        <w:t>Poduzetnici početnici</w:t>
      </w:r>
      <w:bookmarkEnd w:id="35"/>
    </w:p>
    <w:bookmarkEnd w:id="34"/>
    <w:p w14:paraId="6352440A" w14:textId="40ABB6AC" w:rsidR="00284C12" w:rsidRPr="00186872" w:rsidRDefault="00ED4465" w:rsidP="00200929">
      <w:pPr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P</w:t>
      </w:r>
      <w:r w:rsidR="00390FC8" w:rsidRPr="00186872">
        <w:rPr>
          <w:rFonts w:cs="Arial"/>
          <w:szCs w:val="20"/>
        </w:rPr>
        <w:t xml:space="preserve">oduzetnici </w:t>
      </w:r>
      <w:r w:rsidR="005C7052" w:rsidRPr="00186872">
        <w:rPr>
          <w:rFonts w:cs="Arial"/>
          <w:szCs w:val="20"/>
        </w:rPr>
        <w:t>koji po prvi put osnivaju poslovni subjekt</w:t>
      </w:r>
      <w:r w:rsidR="00941A73" w:rsidRPr="00186872">
        <w:rPr>
          <w:rFonts w:cs="Arial"/>
          <w:b/>
          <w:szCs w:val="20"/>
        </w:rPr>
        <w:t xml:space="preserve"> </w:t>
      </w:r>
      <w:r w:rsidR="004947DF" w:rsidRPr="00186872">
        <w:rPr>
          <w:rFonts w:cs="Arial"/>
          <w:szCs w:val="20"/>
        </w:rPr>
        <w:t>ili</w:t>
      </w:r>
      <w:r w:rsidR="00941A73" w:rsidRPr="00186872">
        <w:rPr>
          <w:rFonts w:cs="Arial"/>
          <w:b/>
          <w:szCs w:val="20"/>
        </w:rPr>
        <w:t xml:space="preserve"> </w:t>
      </w:r>
      <w:r w:rsidR="004947DF" w:rsidRPr="00186872">
        <w:rPr>
          <w:rFonts w:cs="Arial"/>
          <w:szCs w:val="20"/>
        </w:rPr>
        <w:t>poslovni subjekti</w:t>
      </w:r>
      <w:r w:rsidR="00616F08" w:rsidRPr="00186872">
        <w:rPr>
          <w:rFonts w:cs="Arial"/>
          <w:szCs w:val="20"/>
        </w:rPr>
        <w:t xml:space="preserve"> </w:t>
      </w:r>
      <w:r w:rsidR="00601E82" w:rsidRPr="00186872">
        <w:rPr>
          <w:rFonts w:cs="Arial"/>
          <w:szCs w:val="20"/>
        </w:rPr>
        <w:t xml:space="preserve">mikro, malog i srednjeg poduzetništva </w:t>
      </w:r>
      <w:r w:rsidR="004B13B0" w:rsidRPr="00186872">
        <w:rPr>
          <w:rFonts w:cs="Arial"/>
          <w:szCs w:val="20"/>
        </w:rPr>
        <w:t>koji posluju kra</w:t>
      </w:r>
      <w:r w:rsidR="00390FC8" w:rsidRPr="00186872">
        <w:rPr>
          <w:rFonts w:cs="Arial"/>
          <w:szCs w:val="20"/>
        </w:rPr>
        <w:t xml:space="preserve">će od </w:t>
      </w:r>
      <w:r w:rsidR="0011161B" w:rsidRPr="00186872">
        <w:rPr>
          <w:rFonts w:cs="Arial"/>
          <w:szCs w:val="20"/>
        </w:rPr>
        <w:t xml:space="preserve">3 </w:t>
      </w:r>
      <w:r w:rsidR="00FF678C" w:rsidRPr="00186872">
        <w:rPr>
          <w:rFonts w:cs="Arial"/>
          <w:szCs w:val="20"/>
        </w:rPr>
        <w:t>(</w:t>
      </w:r>
      <w:r w:rsidR="0011161B" w:rsidRPr="00186872">
        <w:rPr>
          <w:rFonts w:cs="Arial"/>
          <w:szCs w:val="20"/>
        </w:rPr>
        <w:t>tri</w:t>
      </w:r>
      <w:r w:rsidR="00FF678C" w:rsidRPr="00186872">
        <w:rPr>
          <w:rFonts w:cs="Arial"/>
          <w:szCs w:val="20"/>
        </w:rPr>
        <w:t>) godine</w:t>
      </w:r>
      <w:r w:rsidR="008C4F1B" w:rsidRPr="00186872">
        <w:rPr>
          <w:rFonts w:cs="Arial"/>
          <w:szCs w:val="20"/>
        </w:rPr>
        <w:t xml:space="preserve"> u trenutku podnošenja zahtjeva za kredit</w:t>
      </w:r>
      <w:r w:rsidR="00941A73" w:rsidRPr="00186872">
        <w:rPr>
          <w:rFonts w:cs="Arial"/>
          <w:szCs w:val="20"/>
        </w:rPr>
        <w:t>.</w:t>
      </w:r>
      <w:r w:rsidR="00350C51" w:rsidRPr="00186872">
        <w:rPr>
          <w:rFonts w:cs="Arial"/>
          <w:szCs w:val="20"/>
        </w:rPr>
        <w:t xml:space="preserve"> </w:t>
      </w:r>
      <w:r w:rsidR="00941A73" w:rsidRPr="00186872">
        <w:rPr>
          <w:rFonts w:cs="Arial"/>
          <w:szCs w:val="20"/>
        </w:rPr>
        <w:t xml:space="preserve">Poduzetnici početnici </w:t>
      </w:r>
      <w:r w:rsidR="005C7052" w:rsidRPr="00186872">
        <w:rPr>
          <w:rFonts w:cs="Arial"/>
          <w:szCs w:val="20"/>
        </w:rPr>
        <w:t xml:space="preserve">nisu </w:t>
      </w:r>
      <w:r w:rsidR="002C63D6" w:rsidRPr="00186872">
        <w:rPr>
          <w:rFonts w:cs="Arial"/>
          <w:szCs w:val="20"/>
        </w:rPr>
        <w:t xml:space="preserve">ranije bili niti su trenutno </w:t>
      </w:r>
      <w:r w:rsidR="00284C12" w:rsidRPr="00186872">
        <w:rPr>
          <w:rFonts w:cs="Arial"/>
          <w:szCs w:val="20"/>
        </w:rPr>
        <w:t xml:space="preserve">vlasnici </w:t>
      </w:r>
      <w:r w:rsidR="002C63D6" w:rsidRPr="00186872">
        <w:rPr>
          <w:rFonts w:cs="Arial"/>
          <w:szCs w:val="20"/>
        </w:rPr>
        <w:t xml:space="preserve">ili </w:t>
      </w:r>
      <w:r w:rsidR="00284C12" w:rsidRPr="00186872">
        <w:rPr>
          <w:rFonts w:cs="Arial"/>
          <w:szCs w:val="20"/>
        </w:rPr>
        <w:t>suvlasnici drugog poslovnog subjekta s udjelom većim od 30%</w:t>
      </w:r>
      <w:r w:rsidR="00941A73" w:rsidRPr="00186872">
        <w:rPr>
          <w:rFonts w:cs="Arial"/>
          <w:szCs w:val="20"/>
        </w:rPr>
        <w:t>.</w:t>
      </w:r>
    </w:p>
    <w:p w14:paraId="775616EC" w14:textId="3A1C4B8F" w:rsidR="00ED4465" w:rsidRPr="00186872" w:rsidRDefault="00D74B86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cs="Arial"/>
          <w:b w:val="0"/>
          <w:bCs/>
          <w:color w:val="auto"/>
        </w:rPr>
      </w:pPr>
      <w:bookmarkStart w:id="36" w:name="_Toc135126311"/>
      <w:bookmarkStart w:id="37" w:name="_Hlk93619724"/>
      <w:r w:rsidRPr="00186872">
        <w:rPr>
          <w:rFonts w:ascii="Arial" w:hAnsi="Arial" w:cs="Arial"/>
          <w:color w:val="auto"/>
          <w:sz w:val="20"/>
          <w:szCs w:val="20"/>
        </w:rPr>
        <w:t>T</w:t>
      </w:r>
      <w:r w:rsidR="00ED4465" w:rsidRPr="00186872">
        <w:rPr>
          <w:rFonts w:ascii="Arial" w:hAnsi="Arial" w:cs="Arial"/>
          <w:color w:val="auto"/>
          <w:sz w:val="20"/>
          <w:szCs w:val="20"/>
        </w:rPr>
        <w:t>ržišno konkurentni</w:t>
      </w:r>
      <w:r w:rsidRPr="00186872">
        <w:rPr>
          <w:rFonts w:ascii="Arial" w:hAnsi="Arial" w:cs="Arial"/>
          <w:color w:val="auto"/>
          <w:sz w:val="20"/>
          <w:szCs w:val="20"/>
        </w:rPr>
        <w:t xml:space="preserve"> poslovni subjekti</w:t>
      </w:r>
      <w:bookmarkEnd w:id="36"/>
    </w:p>
    <w:bookmarkEnd w:id="30"/>
    <w:bookmarkEnd w:id="31"/>
    <w:bookmarkEnd w:id="37"/>
    <w:p w14:paraId="3A559BF4" w14:textId="2790865C" w:rsidR="008207EB" w:rsidRPr="00186872" w:rsidRDefault="008207EB" w:rsidP="00655642">
      <w:pPr>
        <w:pStyle w:val="BodyText"/>
        <w:spacing w:line="276" w:lineRule="auto"/>
        <w:jc w:val="both"/>
        <w:rPr>
          <w:rFonts w:ascii="Arial" w:hAnsi="Arial" w:cs="Arial"/>
          <w:sz w:val="20"/>
          <w:lang w:val="hr-HR"/>
        </w:rPr>
      </w:pPr>
      <w:r w:rsidRPr="00186872">
        <w:rPr>
          <w:rFonts w:ascii="Arial" w:hAnsi="Arial" w:cs="Arial"/>
          <w:sz w:val="20"/>
          <w:lang w:val="hr-HR"/>
        </w:rPr>
        <w:t xml:space="preserve">Tržišna konkurentnost ocjenjuje se primjenom i ispunjenjem </w:t>
      </w:r>
      <w:r w:rsidR="0051405D" w:rsidRPr="00186872">
        <w:rPr>
          <w:rFonts w:ascii="Arial" w:hAnsi="Arial" w:cs="Arial"/>
          <w:sz w:val="20"/>
          <w:lang w:val="hr-HR"/>
        </w:rPr>
        <w:t xml:space="preserve">svih </w:t>
      </w:r>
      <w:r w:rsidRPr="00186872">
        <w:rPr>
          <w:rFonts w:ascii="Arial" w:hAnsi="Arial" w:cs="Arial"/>
          <w:sz w:val="20"/>
          <w:lang w:val="hr-HR"/>
        </w:rPr>
        <w:t>sljedećih kriterija:</w:t>
      </w:r>
    </w:p>
    <w:p w14:paraId="2B6EBDD3" w14:textId="77777777" w:rsidR="0051405D" w:rsidRPr="00186872" w:rsidRDefault="0051405D" w:rsidP="006F7CE0">
      <w:pPr>
        <w:pStyle w:val="Style30"/>
        <w:numPr>
          <w:ilvl w:val="0"/>
          <w:numId w:val="3"/>
        </w:numPr>
        <w:shd w:val="clear" w:color="auto" w:fill="auto"/>
        <w:spacing w:before="0" w:after="0" w:line="276" w:lineRule="auto"/>
        <w:ind w:left="567" w:hanging="408"/>
        <w:rPr>
          <w:rFonts w:ascii="Arial" w:hAnsi="Arial" w:cs="Arial"/>
          <w:bCs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poslovni prihodi/primitci veći od poslovnih rashoda/izdataka u prethodnoj godini,</w:t>
      </w:r>
    </w:p>
    <w:p w14:paraId="75D0C83C" w14:textId="5A2C0A4E" w:rsidR="008207EB" w:rsidRPr="00186872" w:rsidRDefault="008207EB" w:rsidP="006F7CE0">
      <w:pPr>
        <w:pStyle w:val="Style30"/>
        <w:numPr>
          <w:ilvl w:val="0"/>
          <w:numId w:val="3"/>
        </w:numPr>
        <w:shd w:val="clear" w:color="auto" w:fill="auto"/>
        <w:spacing w:before="0" w:after="0" w:line="276" w:lineRule="auto"/>
        <w:ind w:left="567" w:hanging="408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tekuća likvidnost veća od 0,</w:t>
      </w:r>
      <w:r w:rsidR="0051405D" w:rsidRPr="00186872">
        <w:rPr>
          <w:rFonts w:ascii="Arial" w:hAnsi="Arial" w:cs="Arial"/>
          <w:sz w:val="20"/>
          <w:szCs w:val="20"/>
        </w:rPr>
        <w:t>6</w:t>
      </w:r>
      <w:r w:rsidRPr="00186872">
        <w:rPr>
          <w:rFonts w:ascii="Arial" w:hAnsi="Arial" w:cs="Arial"/>
          <w:sz w:val="20"/>
          <w:szCs w:val="20"/>
        </w:rPr>
        <w:t xml:space="preserve"> (kratkotrajna imovina/kratkoročne obveze),</w:t>
      </w:r>
    </w:p>
    <w:p w14:paraId="659E9969" w14:textId="77777777" w:rsidR="008207EB" w:rsidRPr="00186872" w:rsidRDefault="008207EB" w:rsidP="006F7CE0">
      <w:pPr>
        <w:pStyle w:val="Style30"/>
        <w:numPr>
          <w:ilvl w:val="0"/>
          <w:numId w:val="3"/>
        </w:numPr>
        <w:shd w:val="clear" w:color="auto" w:fill="auto"/>
        <w:spacing w:before="0" w:after="0" w:line="276" w:lineRule="auto"/>
        <w:ind w:left="567" w:hanging="408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koeficijent dugoročne financijske stabilnosti manji od 1,2 (dugotrajna imovina u odnosu na kapital, rezerve i dugoročne obveze),</w:t>
      </w:r>
    </w:p>
    <w:p w14:paraId="7F49A040" w14:textId="77777777" w:rsidR="0051405D" w:rsidRPr="00186872" w:rsidRDefault="0051405D" w:rsidP="006F7CE0">
      <w:pPr>
        <w:pStyle w:val="Style30"/>
        <w:numPr>
          <w:ilvl w:val="0"/>
          <w:numId w:val="3"/>
        </w:numPr>
        <w:shd w:val="clear" w:color="auto" w:fill="auto"/>
        <w:spacing w:before="0" w:after="0" w:line="276" w:lineRule="auto"/>
        <w:ind w:left="567" w:hanging="408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umanjeni valutno inducirani kreditni rizik (najmanje 5% poslovnih prihoda/primitaka na stranim ili međunarodnim tržištima, odnosno ostvarenjem najmanje 5% noćenja inozemnih gostiju od ukupno ostvarenih noćenja u prethodnoj poslovnoj godini).</w:t>
      </w:r>
    </w:p>
    <w:p w14:paraId="0A2ED69E" w14:textId="52380295" w:rsidR="0051405D" w:rsidRPr="00186872" w:rsidRDefault="0051405D" w:rsidP="00200929">
      <w:pPr>
        <w:spacing w:before="120" w:line="276" w:lineRule="auto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cs="Arial"/>
          <w:szCs w:val="20"/>
        </w:rPr>
        <w:t>Iznimno za korisnike kredita koji se bave iznajmljivanjem ležaja odnosno pružanjem usluga smještaja gostiju, umjesto kriterija iz alineje 2. i 3. može se alternativno uzeti kriterij minimalnog učešća kapitala, rezervi i zadržane dobiti u pasivi bilance u visini od 30%.</w:t>
      </w:r>
      <w:r w:rsidR="00792778" w:rsidRPr="00186872">
        <w:rPr>
          <w:rFonts w:eastAsia="Times New Roman" w:cs="Arial"/>
          <w:szCs w:val="20"/>
          <w:lang w:eastAsia="hr-HR"/>
        </w:rPr>
        <w:t xml:space="preserve"> </w:t>
      </w:r>
      <w:r w:rsidRPr="00186872">
        <w:rPr>
          <w:rFonts w:eastAsia="Times New Roman" w:cs="Arial"/>
          <w:szCs w:val="20"/>
          <w:lang w:eastAsia="hr-HR"/>
        </w:rPr>
        <w:t>U slučaju da korisnik kredita ostvaruje prihode/primitke u visini manjoj od 5% poslovnih prihoda/primitaka na stranim ili međunarodnim tržištima, a član je grupe koja ostvaruje preko 5% poslovnih prihoda/primitaka na stranim ili međunarodnim tržištima, što je dokumentirano u konsolidiranim financijskim izvješćima grupe, smatrat će se kako je ispunjen kriterij umanjenog valutno induciranog kreditnog rizika.</w:t>
      </w:r>
    </w:p>
    <w:p w14:paraId="08F03D48" w14:textId="5C17AD0C" w:rsidR="0051405D" w:rsidRPr="00186872" w:rsidRDefault="0051405D" w:rsidP="00200929">
      <w:pPr>
        <w:spacing w:before="120" w:line="276" w:lineRule="auto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eastAsia="Times New Roman" w:cs="Arial"/>
          <w:szCs w:val="20"/>
          <w:lang w:eastAsia="hr-HR"/>
        </w:rPr>
        <w:t xml:space="preserve">Dokumentacija za utvrđivanje </w:t>
      </w:r>
      <w:r w:rsidR="00507305" w:rsidRPr="00186872">
        <w:rPr>
          <w:rFonts w:eastAsia="Times New Roman" w:cs="Arial"/>
          <w:szCs w:val="20"/>
          <w:lang w:eastAsia="hr-HR"/>
        </w:rPr>
        <w:t xml:space="preserve">navedenih kriterija </w:t>
      </w:r>
      <w:r w:rsidRPr="00186872">
        <w:rPr>
          <w:rFonts w:eastAsia="Times New Roman" w:cs="Arial"/>
          <w:szCs w:val="20"/>
          <w:lang w:eastAsia="hr-HR"/>
        </w:rPr>
        <w:t xml:space="preserve">su financijska izvješća poduzetnika za prethodnu poslovnu godinu (bilanca i račun dobiti i gubitka te za obrtnike prijava poreza na dohodak, ovjereni od nadležnih osoba) te za korisnike kredita iz turističke djelatnosti i </w:t>
      </w:r>
      <w:r w:rsidR="00507305" w:rsidRPr="00186872">
        <w:rPr>
          <w:rFonts w:eastAsia="Times New Roman" w:cs="Arial"/>
          <w:szCs w:val="20"/>
          <w:lang w:eastAsia="hr-HR"/>
        </w:rPr>
        <w:t>s</w:t>
      </w:r>
      <w:r w:rsidRPr="00186872">
        <w:rPr>
          <w:rFonts w:eastAsia="Times New Roman" w:cs="Arial"/>
          <w:szCs w:val="20"/>
          <w:lang w:eastAsia="hr-HR"/>
        </w:rPr>
        <w:t>tatistika o dolascima i noćenjima turista za prethodnu godinu.</w:t>
      </w:r>
    </w:p>
    <w:p w14:paraId="678665EE" w14:textId="0ED12F10" w:rsidR="0051405D" w:rsidRPr="00186872" w:rsidRDefault="0051405D" w:rsidP="00200929">
      <w:pPr>
        <w:spacing w:before="120" w:line="276" w:lineRule="auto"/>
        <w:jc w:val="both"/>
        <w:rPr>
          <w:rFonts w:eastAsia="Times New Roman" w:cs="Arial"/>
          <w:szCs w:val="20"/>
          <w:lang w:eastAsia="hr-HR"/>
        </w:rPr>
      </w:pPr>
      <w:bookmarkStart w:id="38" w:name="_Hlk18669694"/>
      <w:bookmarkStart w:id="39" w:name="_Toc534881544"/>
      <w:r w:rsidRPr="00186872">
        <w:rPr>
          <w:rFonts w:eastAsia="Times New Roman" w:cs="Arial"/>
          <w:szCs w:val="20"/>
          <w:lang w:eastAsia="hr-HR"/>
        </w:rPr>
        <w:t xml:space="preserve">Iznimno, za korisnike kredita koji u svojim financijskim izvješćima ne udovoljavaju kriteriju iz alineje 4. (umanjeni valutno inducirani kreditni rizik), ukoliko korisnik kredita može dokazati indirektne prihode/primitke u visini od najmanje 5% poslovnih prihoda/primitaka na stranim ili međunarodnim tržištima ostvarenim preko posrednika, predočenjem računa o isporučenoj robi i izjavom posrednika ovjerenom kod javnog bilježnika pod materijalnom i krivičnom odgovornošću </w:t>
      </w:r>
      <w:r w:rsidR="004A209F">
        <w:rPr>
          <w:rFonts w:eastAsia="Times New Roman" w:cs="Arial"/>
          <w:szCs w:val="20"/>
          <w:lang w:eastAsia="hr-HR"/>
        </w:rPr>
        <w:t>da</w:t>
      </w:r>
      <w:r w:rsidR="004A209F" w:rsidRPr="00186872">
        <w:rPr>
          <w:rFonts w:eastAsia="Times New Roman" w:cs="Arial"/>
          <w:szCs w:val="20"/>
          <w:lang w:eastAsia="hr-HR"/>
        </w:rPr>
        <w:t xml:space="preserve"> </w:t>
      </w:r>
      <w:r w:rsidRPr="00186872">
        <w:rPr>
          <w:rFonts w:eastAsia="Times New Roman" w:cs="Arial"/>
          <w:szCs w:val="20"/>
          <w:lang w:eastAsia="hr-HR"/>
        </w:rPr>
        <w:t>je gotovu robu od strane korisnika kredita isporučio na strano ili međunarodno tržište u nepromijenjenom obliku, smatra se kako isti ispunjavaju kriterij umanjenog valutno induciranog kreditnog rizika.</w:t>
      </w:r>
    </w:p>
    <w:p w14:paraId="6BAD6ACB" w14:textId="58C5931D" w:rsidR="00F628DD" w:rsidRPr="00BF42EE" w:rsidRDefault="00F628DD" w:rsidP="001A4F54">
      <w:pPr>
        <w:pStyle w:val="HeadingA"/>
        <w:numPr>
          <w:ilvl w:val="1"/>
          <w:numId w:val="4"/>
        </w:numPr>
        <w:spacing w:after="240" w:line="276" w:lineRule="auto"/>
        <w:outlineLvl w:val="1"/>
        <w:rPr>
          <w:rFonts w:ascii="Arial" w:hAnsi="Arial" w:cs="Arial"/>
          <w:sz w:val="20"/>
          <w:szCs w:val="20"/>
        </w:rPr>
      </w:pPr>
      <w:bookmarkStart w:id="40" w:name="_Toc135126312"/>
      <w:r w:rsidRPr="00BF42EE">
        <w:rPr>
          <w:rFonts w:ascii="Arial" w:hAnsi="Arial" w:cs="Arial"/>
          <w:sz w:val="20"/>
          <w:szCs w:val="20"/>
        </w:rPr>
        <w:t>Neprihvatljivi korisnici kredita i ograničenja</w:t>
      </w:r>
      <w:bookmarkEnd w:id="40"/>
    </w:p>
    <w:p w14:paraId="3E432AA7" w14:textId="77AE700C" w:rsidR="002602C8" w:rsidRPr="00186872" w:rsidRDefault="002602C8" w:rsidP="002602C8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41" w:name="_Toc135126313"/>
      <w:bookmarkStart w:id="42" w:name="_Hlk93619809"/>
      <w:r w:rsidRPr="00186872">
        <w:rPr>
          <w:rFonts w:ascii="Arial" w:hAnsi="Arial" w:cs="Arial"/>
          <w:color w:val="auto"/>
          <w:sz w:val="20"/>
          <w:szCs w:val="20"/>
        </w:rPr>
        <w:t>Poduzetnici u teškoćama</w:t>
      </w:r>
      <w:bookmarkEnd w:id="41"/>
    </w:p>
    <w:bookmarkEnd w:id="42"/>
    <w:p w14:paraId="1406704F" w14:textId="481EAF6C" w:rsidR="002602C8" w:rsidRPr="00186872" w:rsidRDefault="002602C8" w:rsidP="002602C8">
      <w:pPr>
        <w:spacing w:line="276" w:lineRule="auto"/>
        <w:jc w:val="both"/>
        <w:rPr>
          <w:rFonts w:cs="Arial"/>
        </w:rPr>
      </w:pPr>
      <w:r w:rsidRPr="00186872">
        <w:rPr>
          <w:rFonts w:cs="Arial"/>
        </w:rPr>
        <w:t xml:space="preserve">Korisnici kredita ne mogu biti subjekti koji pripadaju kategoriji društava u poteškoćama sukladno odredbama čl. 2. toč. 18. Uredbe Komisije (EU) br. 651/2014 od 17.6.2014. godine o ocjenjivanju određenih kategorija potpora spojivima s unutarnjim tržištem u primjeni članaka 107. i 108. Ugovora (SL L 187 od 26.06.2014., dalje: Uredba: 651/2014), tj. odredbama uredbe važeće u trenutku odobrenja kredita odnosno odobrenja subvencije kamata, osim u slučaju kako je navedeno pod točkom </w:t>
      </w:r>
      <w:r w:rsidR="008160A8">
        <w:rPr>
          <w:rFonts w:cs="Arial"/>
        </w:rPr>
        <w:t>6</w:t>
      </w:r>
      <w:r w:rsidRPr="00186872">
        <w:rPr>
          <w:rFonts w:cs="Arial"/>
        </w:rPr>
        <w:t>.2. ovih Općih kriterija prihvatljivosti (Financijsko restrukturiranje).</w:t>
      </w:r>
    </w:p>
    <w:p w14:paraId="383828AF" w14:textId="2F5F539E" w:rsidR="002602C8" w:rsidRPr="00186872" w:rsidRDefault="002602C8" w:rsidP="002602C8">
      <w:pPr>
        <w:spacing w:before="120" w:line="276" w:lineRule="auto"/>
        <w:rPr>
          <w:rFonts w:cs="Arial"/>
        </w:rPr>
      </w:pPr>
      <w:r w:rsidRPr="00186872">
        <w:rPr>
          <w:rFonts w:cs="Arial"/>
        </w:rPr>
        <w:t>Detaljnije na poveznici:</w:t>
      </w:r>
      <w:r w:rsidRPr="00186872">
        <w:t xml:space="preserve"> </w:t>
      </w:r>
      <w:hyperlink r:id="rId11" w:history="1">
        <w:r w:rsidRPr="00693B3E">
          <w:rPr>
            <w:rStyle w:val="Hyperlink"/>
            <w:rFonts w:cs="Arial"/>
            <w:color w:val="2F5496" w:themeColor="accent1" w:themeShade="BF"/>
          </w:rPr>
          <w:t>https://www.hbor.hr/naslovnica/hbor/poduzetnici-u-teskocama/</w:t>
        </w:r>
      </w:hyperlink>
      <w:r w:rsidRPr="00693B3E">
        <w:rPr>
          <w:rFonts w:cs="Arial"/>
          <w:color w:val="2F5496" w:themeColor="accent1" w:themeShade="BF"/>
        </w:rPr>
        <w:t xml:space="preserve"> </w:t>
      </w:r>
    </w:p>
    <w:p w14:paraId="402A3BEF" w14:textId="309FA6D6" w:rsidR="002602C8" w:rsidRPr="00186872" w:rsidRDefault="002602C8" w:rsidP="00884DED">
      <w:pPr>
        <w:pStyle w:val="HeadingA"/>
        <w:numPr>
          <w:ilvl w:val="0"/>
          <w:numId w:val="0"/>
        </w:numPr>
        <w:spacing w:before="240" w:after="0" w:line="276" w:lineRule="auto"/>
        <w:jc w:val="both"/>
        <w:outlineLvl w:val="2"/>
        <w:rPr>
          <w:rFonts w:ascii="Arial" w:hAnsi="Arial" w:cs="Arial"/>
          <w:color w:val="auto"/>
          <w:sz w:val="20"/>
          <w:szCs w:val="20"/>
        </w:rPr>
      </w:pPr>
      <w:bookmarkStart w:id="43" w:name="_Toc135126314"/>
      <w:r w:rsidRPr="00186872">
        <w:rPr>
          <w:rFonts w:ascii="Arial" w:hAnsi="Arial" w:cs="Arial"/>
          <w:color w:val="auto"/>
          <w:sz w:val="20"/>
          <w:szCs w:val="20"/>
        </w:rPr>
        <w:t xml:space="preserve">Poslovni subjekti u kojima udjele u vlasništvu imaju </w:t>
      </w:r>
      <w:r w:rsidR="005C1CE0">
        <w:rPr>
          <w:rFonts w:ascii="Arial" w:hAnsi="Arial" w:cs="Arial"/>
          <w:color w:val="auto"/>
          <w:sz w:val="20"/>
          <w:szCs w:val="20"/>
        </w:rPr>
        <w:t xml:space="preserve">obveznici Zakona o sprječavanju sukoba interesa </w:t>
      </w:r>
      <w:r w:rsidRPr="00186872">
        <w:rPr>
          <w:rFonts w:ascii="Arial" w:hAnsi="Arial" w:cs="Arial"/>
          <w:color w:val="auto"/>
          <w:sz w:val="20"/>
          <w:szCs w:val="20"/>
        </w:rPr>
        <w:t>i članovi njihove obitelji</w:t>
      </w:r>
      <w:bookmarkEnd w:id="43"/>
    </w:p>
    <w:p w14:paraId="2F4A170B" w14:textId="35F0E6A1" w:rsidR="002602C8" w:rsidRPr="00186872" w:rsidRDefault="002602C8" w:rsidP="002602C8">
      <w:pPr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 xml:space="preserve">Sukladno Zakonu o sprječavanju sukoba interesa (NN </w:t>
      </w:r>
      <w:r w:rsidR="005C1CE0">
        <w:rPr>
          <w:rFonts w:cs="Arial"/>
          <w:szCs w:val="20"/>
        </w:rPr>
        <w:t>143/2021</w:t>
      </w:r>
      <w:r w:rsidRPr="00186872">
        <w:rPr>
          <w:rFonts w:cs="Arial"/>
          <w:szCs w:val="20"/>
        </w:rPr>
        <w:t xml:space="preserve">) i svim </w:t>
      </w:r>
      <w:r w:rsidR="005C1CE0">
        <w:rPr>
          <w:rFonts w:cs="Arial"/>
          <w:szCs w:val="20"/>
        </w:rPr>
        <w:t xml:space="preserve">njegovima </w:t>
      </w:r>
      <w:r w:rsidRPr="00186872">
        <w:rPr>
          <w:rFonts w:cs="Arial"/>
          <w:szCs w:val="20"/>
        </w:rPr>
        <w:t xml:space="preserve">naknadnim izmjenama i dopunama, na snazi su ograničenja kreditiranja poslovnih subjekata u kojima udjele u vlasništvu imaju </w:t>
      </w:r>
      <w:r w:rsidR="005C1CE0">
        <w:rPr>
          <w:rFonts w:cs="Arial"/>
          <w:szCs w:val="20"/>
        </w:rPr>
        <w:t>obveznici Zakona o sprječavanju sukoba interesa</w:t>
      </w:r>
      <w:r w:rsidRPr="00186872">
        <w:rPr>
          <w:rFonts w:cs="Arial"/>
          <w:szCs w:val="20"/>
        </w:rPr>
        <w:t xml:space="preserve"> i članovi njihovih obitelji.</w:t>
      </w:r>
    </w:p>
    <w:p w14:paraId="6297ABAB" w14:textId="54F74445" w:rsidR="004D1D55" w:rsidRPr="00186872" w:rsidRDefault="002602C8" w:rsidP="002602C8">
      <w:pPr>
        <w:spacing w:before="120" w:line="276" w:lineRule="auto"/>
        <w:rPr>
          <w:rStyle w:val="Hyperlink"/>
          <w:rFonts w:cs="Arial"/>
          <w:color w:val="auto"/>
          <w:szCs w:val="20"/>
        </w:rPr>
      </w:pPr>
      <w:r w:rsidRPr="00186872">
        <w:rPr>
          <w:rFonts w:cs="Arial"/>
          <w:szCs w:val="20"/>
        </w:rPr>
        <w:lastRenderedPageBreak/>
        <w:t>Detaljnije na poveznici:</w:t>
      </w:r>
      <w:r w:rsidRPr="00186872">
        <w:t xml:space="preserve"> </w:t>
      </w:r>
      <w:hyperlink r:id="rId12" w:history="1">
        <w:r w:rsidRPr="00693B3E">
          <w:rPr>
            <w:rStyle w:val="Hyperlink"/>
            <w:rFonts w:cs="Arial"/>
            <w:color w:val="2F5496" w:themeColor="accent1" w:themeShade="BF"/>
            <w:szCs w:val="20"/>
          </w:rPr>
          <w:t>https://www.hbor.hr/wp-content/uploads/2016/10/Ogranicenje-u-kreditiranju-drzavnih-duznosnika.pdf</w:t>
        </w:r>
      </w:hyperlink>
    </w:p>
    <w:p w14:paraId="05177CCB" w14:textId="1BDD23F0" w:rsidR="00E440F0" w:rsidRPr="00186872" w:rsidRDefault="00E440F0" w:rsidP="00E440F0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44" w:name="_Toc97033111"/>
      <w:bookmarkStart w:id="45" w:name="_Toc135126315"/>
      <w:r w:rsidRPr="00186872">
        <w:rPr>
          <w:rFonts w:ascii="Arial" w:hAnsi="Arial" w:cs="Arial"/>
          <w:color w:val="auto"/>
          <w:sz w:val="20"/>
          <w:szCs w:val="20"/>
        </w:rPr>
        <w:t>Kriteriji isključenja</w:t>
      </w:r>
      <w:bookmarkEnd w:id="44"/>
      <w:r w:rsidR="005C1CE0">
        <w:rPr>
          <w:rFonts w:ascii="Arial" w:hAnsi="Arial" w:cs="Arial"/>
          <w:color w:val="auto"/>
          <w:sz w:val="20"/>
          <w:szCs w:val="20"/>
        </w:rPr>
        <w:t xml:space="preserve"> sukladno Pravilniku o upravljanju reputacijskim rizikom</w:t>
      </w:r>
      <w:bookmarkEnd w:id="45"/>
    </w:p>
    <w:p w14:paraId="4525214E" w14:textId="77777777" w:rsidR="00E440F0" w:rsidRPr="00186872" w:rsidRDefault="00E440F0" w:rsidP="00E440F0">
      <w:pPr>
        <w:spacing w:line="276" w:lineRule="auto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eastAsia="Times New Roman" w:cs="Arial"/>
          <w:szCs w:val="20"/>
          <w:lang w:eastAsia="hr-HR"/>
        </w:rPr>
        <w:t>Sukladno Pravilniku o upravljanju reputacijskim rizikom HBOR-a definirane su kategorije rizika i kriteriji isključenja te njihov utjecaj na sklapanje, nastavak ili raskid poslovnog odnosa s klijentom.</w:t>
      </w:r>
    </w:p>
    <w:p w14:paraId="711B3A5B" w14:textId="7EB3E96D" w:rsidR="00E440F0" w:rsidRPr="00186872" w:rsidRDefault="00E440F0" w:rsidP="00413AB6">
      <w:pPr>
        <w:spacing w:before="120" w:line="276" w:lineRule="auto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cs="Arial"/>
          <w:szCs w:val="20"/>
        </w:rPr>
        <w:t>Detaljnije na poveznici:</w:t>
      </w:r>
      <w:r w:rsidRPr="00186872">
        <w:t xml:space="preserve"> </w:t>
      </w:r>
      <w:hyperlink r:id="rId13" w:history="1">
        <w:r w:rsidRPr="00693B3E">
          <w:rPr>
            <w:rStyle w:val="Hyperlink"/>
            <w:color w:val="2F5496" w:themeColor="accent1" w:themeShade="BF"/>
          </w:rPr>
          <w:t>https://www.hbor.hr/pravilnik-o-upravljanju-reputacijskim-rizikom-hbor-a-koji-proizlazi-iz-poslovnog-odnosa-s-klijentom/</w:t>
        </w:r>
      </w:hyperlink>
      <w:r w:rsidRPr="00693B3E">
        <w:rPr>
          <w:color w:val="2F5496" w:themeColor="accent1" w:themeShade="BF"/>
        </w:rPr>
        <w:t xml:space="preserve"> </w:t>
      </w:r>
    </w:p>
    <w:p w14:paraId="562A3714" w14:textId="6D8CB55B" w:rsidR="000E4F10" w:rsidRPr="004701A6" w:rsidRDefault="004D2028" w:rsidP="001A4F54">
      <w:pPr>
        <w:pStyle w:val="HeadingA"/>
        <w:numPr>
          <w:ilvl w:val="0"/>
          <w:numId w:val="4"/>
        </w:numPr>
        <w:spacing w:after="240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46" w:name="_Toc135126316"/>
      <w:bookmarkStart w:id="47" w:name="_Hlk93311272"/>
      <w:r w:rsidRPr="004701A6">
        <w:rPr>
          <w:rFonts w:ascii="Arial" w:hAnsi="Arial" w:cs="Arial"/>
          <w:sz w:val="24"/>
          <w:szCs w:val="24"/>
        </w:rPr>
        <w:t>P</w:t>
      </w:r>
      <w:r w:rsidR="000E4F10" w:rsidRPr="004701A6">
        <w:rPr>
          <w:rFonts w:ascii="Arial" w:hAnsi="Arial" w:cs="Arial"/>
          <w:sz w:val="24"/>
          <w:szCs w:val="24"/>
        </w:rPr>
        <w:t>o</w:t>
      </w:r>
      <w:r w:rsidR="00F8762B" w:rsidRPr="004701A6">
        <w:rPr>
          <w:rFonts w:ascii="Arial" w:hAnsi="Arial" w:cs="Arial"/>
          <w:sz w:val="24"/>
          <w:szCs w:val="24"/>
        </w:rPr>
        <w:t xml:space="preserve">sebna područja </w:t>
      </w:r>
      <w:r w:rsidR="008A0D0E" w:rsidRPr="004701A6">
        <w:rPr>
          <w:rFonts w:ascii="Arial" w:hAnsi="Arial" w:cs="Arial"/>
          <w:sz w:val="24"/>
          <w:szCs w:val="24"/>
        </w:rPr>
        <w:t>RH</w:t>
      </w:r>
      <w:bookmarkEnd w:id="46"/>
    </w:p>
    <w:p w14:paraId="1C857A81" w14:textId="535CC633" w:rsidR="00877644" w:rsidRPr="00186872" w:rsidRDefault="00877644" w:rsidP="00877644">
      <w:pPr>
        <w:spacing w:before="120" w:line="276" w:lineRule="auto"/>
        <w:jc w:val="both"/>
        <w:rPr>
          <w:bCs/>
        </w:rPr>
      </w:pPr>
      <w:bookmarkStart w:id="48" w:name="_Hlk72060031"/>
      <w:bookmarkEnd w:id="38"/>
      <w:bookmarkEnd w:id="39"/>
      <w:bookmarkEnd w:id="47"/>
      <w:r w:rsidRPr="00186872">
        <w:rPr>
          <w:bCs/>
        </w:rPr>
        <w:t xml:space="preserve">Posebna područja </w:t>
      </w:r>
      <w:r w:rsidR="008A0D0E">
        <w:rPr>
          <w:bCs/>
        </w:rPr>
        <w:t>RH</w:t>
      </w:r>
      <w:r w:rsidR="008A0D0E" w:rsidRPr="00186872">
        <w:rPr>
          <w:bCs/>
        </w:rPr>
        <w:t xml:space="preserve"> </w:t>
      </w:r>
      <w:r w:rsidRPr="00186872">
        <w:rPr>
          <w:bCs/>
        </w:rPr>
        <w:t>su gospodarski slabije razvijena područja (potpomognuta područja), otoci i brdsko-planinska područja</w:t>
      </w:r>
      <w:r w:rsidR="006B57F9" w:rsidRPr="00186872">
        <w:rPr>
          <w:bCs/>
        </w:rPr>
        <w:t xml:space="preserve"> u Republici Hrvatskoj</w:t>
      </w:r>
      <w:r w:rsidR="008A0D0E">
        <w:rPr>
          <w:bCs/>
        </w:rPr>
        <w:t>:</w:t>
      </w:r>
      <w:r w:rsidR="007C356E">
        <w:rPr>
          <w:bCs/>
        </w:rPr>
        <w:t xml:space="preserve"> </w:t>
      </w:r>
    </w:p>
    <w:p w14:paraId="7879FDD2" w14:textId="700966DC" w:rsidR="000D360E" w:rsidRPr="00186872" w:rsidRDefault="000D360E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49" w:name="_Toc135126317"/>
      <w:bookmarkStart w:id="50" w:name="_Hlk93331258"/>
      <w:bookmarkEnd w:id="48"/>
      <w:r w:rsidRPr="00186872">
        <w:rPr>
          <w:rFonts w:ascii="Arial" w:hAnsi="Arial" w:cs="Arial"/>
          <w:color w:val="auto"/>
          <w:sz w:val="20"/>
          <w:szCs w:val="20"/>
        </w:rPr>
        <w:t>Potpomognuta područja</w:t>
      </w:r>
      <w:bookmarkEnd w:id="49"/>
    </w:p>
    <w:bookmarkEnd w:id="50"/>
    <w:p w14:paraId="09331462" w14:textId="77777777" w:rsidR="00F34010" w:rsidRPr="00186872" w:rsidRDefault="00F34010" w:rsidP="00F34010">
      <w:pPr>
        <w:spacing w:line="276" w:lineRule="auto"/>
        <w:jc w:val="both"/>
        <w:rPr>
          <w:rFonts w:cs="Arial"/>
          <w:bCs/>
          <w:szCs w:val="20"/>
        </w:rPr>
      </w:pPr>
      <w:r w:rsidRPr="00186872">
        <w:rPr>
          <w:rFonts w:cs="Arial"/>
          <w:bCs/>
          <w:szCs w:val="20"/>
        </w:rPr>
        <w:t>Jedinice lokalne samouprave razvrstane u I., II., III. i IV. skupinu sukladno Zakonu o regionalnom razvoju Republike Hrvatske (NN 147/2014, 123/2017, 118/2018) i Odluci o razvrstavanju jedinica lokalne i područne (regionalne) samouprave prema stupnju razvijenosti (NN 132/2017) i svim njihovim izmjenama i dopunama.</w:t>
      </w:r>
    </w:p>
    <w:p w14:paraId="759CAC96" w14:textId="4770558C" w:rsidR="000D360E" w:rsidRPr="00186872" w:rsidRDefault="000D360E" w:rsidP="00200929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51" w:name="_Toc135126318"/>
      <w:r w:rsidRPr="00186872">
        <w:rPr>
          <w:rFonts w:ascii="Arial" w:hAnsi="Arial" w:cs="Arial"/>
          <w:color w:val="auto"/>
          <w:sz w:val="20"/>
          <w:szCs w:val="20"/>
        </w:rPr>
        <w:t>Brdsko</w:t>
      </w:r>
      <w:r w:rsidR="00736D44" w:rsidRPr="00186872">
        <w:rPr>
          <w:rFonts w:ascii="Arial" w:hAnsi="Arial" w:cs="Arial"/>
          <w:color w:val="auto"/>
          <w:sz w:val="20"/>
          <w:szCs w:val="20"/>
        </w:rPr>
        <w:t>-</w:t>
      </w:r>
      <w:r w:rsidRPr="00186872">
        <w:rPr>
          <w:rFonts w:ascii="Arial" w:hAnsi="Arial" w:cs="Arial"/>
          <w:color w:val="auto"/>
          <w:sz w:val="20"/>
          <w:szCs w:val="20"/>
        </w:rPr>
        <w:t>planinska područja</w:t>
      </w:r>
      <w:bookmarkEnd w:id="51"/>
    </w:p>
    <w:p w14:paraId="73BD2FF7" w14:textId="77777777" w:rsidR="00F34010" w:rsidRPr="00186872" w:rsidRDefault="00F34010" w:rsidP="00F34010">
      <w:pPr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Područja sukladno Zakonu o brdsko-planinskim područjima (NN 118/2018) i Odluci o obuhvatu i razvrstavanju jedinica lokalne samouprave koje stječu status brdsko-planinskog područja (NN 24/2019) i svim njihovim izmjenama i dopunama.</w:t>
      </w:r>
    </w:p>
    <w:p w14:paraId="6B406094" w14:textId="224E12E4" w:rsidR="000D360E" w:rsidRPr="00186872" w:rsidRDefault="000D360E" w:rsidP="00200929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52" w:name="_Toc135126319"/>
      <w:r w:rsidRPr="00186872">
        <w:rPr>
          <w:rFonts w:ascii="Arial" w:hAnsi="Arial" w:cs="Arial"/>
          <w:color w:val="auto"/>
          <w:sz w:val="20"/>
          <w:szCs w:val="20"/>
        </w:rPr>
        <w:t>Otoci</w:t>
      </w:r>
      <w:bookmarkEnd w:id="52"/>
    </w:p>
    <w:p w14:paraId="6D7D8A7F" w14:textId="6F7946A3" w:rsidR="00F34010" w:rsidRDefault="00F34010" w:rsidP="00F34010">
      <w:pPr>
        <w:spacing w:line="276" w:lineRule="auto"/>
        <w:jc w:val="both"/>
        <w:rPr>
          <w:rFonts w:cs="Arial"/>
          <w:szCs w:val="20"/>
        </w:rPr>
      </w:pPr>
      <w:bookmarkStart w:id="53" w:name="_Hlk93311769"/>
      <w:r w:rsidRPr="00186872">
        <w:rPr>
          <w:rFonts w:cs="Arial"/>
          <w:szCs w:val="20"/>
        </w:rPr>
        <w:t>Sukladno Zakonu o otocima (NN 116/2018, 73/2020, 70/2021) i svim njegovim izmjenama i dopunama.</w:t>
      </w:r>
    </w:p>
    <w:p w14:paraId="7AFD361A" w14:textId="21D26DC1" w:rsidR="00EA0771" w:rsidRPr="004701A6" w:rsidRDefault="00EB2E79" w:rsidP="001A4F54">
      <w:pPr>
        <w:pStyle w:val="HeadingA"/>
        <w:numPr>
          <w:ilvl w:val="0"/>
          <w:numId w:val="4"/>
        </w:numPr>
        <w:spacing w:after="240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54" w:name="_Toc135126320"/>
      <w:r w:rsidRPr="004701A6">
        <w:rPr>
          <w:rFonts w:ascii="Arial" w:hAnsi="Arial" w:cs="Arial"/>
          <w:sz w:val="24"/>
          <w:szCs w:val="24"/>
        </w:rPr>
        <w:t>Djelatnosti od posebnog interesa</w:t>
      </w:r>
      <w:bookmarkEnd w:id="54"/>
    </w:p>
    <w:p w14:paraId="53A8AC89" w14:textId="77777777" w:rsidR="0099257F" w:rsidRPr="00186872" w:rsidRDefault="006200A0" w:rsidP="00370249">
      <w:pPr>
        <w:spacing w:after="120" w:line="276" w:lineRule="auto"/>
        <w:jc w:val="both"/>
        <w:rPr>
          <w:rFonts w:cs="Arial"/>
          <w:szCs w:val="20"/>
        </w:rPr>
      </w:pPr>
      <w:bookmarkStart w:id="55" w:name="_Toc4408946"/>
      <w:bookmarkEnd w:id="53"/>
      <w:r w:rsidRPr="00186872">
        <w:rPr>
          <w:rFonts w:cs="Arial"/>
          <w:szCs w:val="20"/>
        </w:rPr>
        <w:t xml:space="preserve">Ulaganja u </w:t>
      </w:r>
      <w:r w:rsidR="00CC0DFA" w:rsidRPr="00186872">
        <w:rPr>
          <w:rFonts w:cs="Arial"/>
          <w:szCs w:val="20"/>
        </w:rPr>
        <w:t>d</w:t>
      </w:r>
      <w:r w:rsidR="008542FF" w:rsidRPr="00186872">
        <w:rPr>
          <w:rFonts w:cs="Arial"/>
          <w:szCs w:val="20"/>
        </w:rPr>
        <w:t xml:space="preserve">jelatnosti od posebnog interesa </w:t>
      </w:r>
      <w:r w:rsidR="009C4642" w:rsidRPr="00186872">
        <w:rPr>
          <w:rFonts w:cs="Arial"/>
          <w:szCs w:val="20"/>
        </w:rPr>
        <w:t xml:space="preserve">navedene su u </w:t>
      </w:r>
      <w:r w:rsidR="00160F77" w:rsidRPr="00186872">
        <w:rPr>
          <w:rFonts w:cs="Arial"/>
          <w:szCs w:val="20"/>
        </w:rPr>
        <w:t xml:space="preserve">sljedećoj </w:t>
      </w:r>
      <w:r w:rsidR="009C4642" w:rsidRPr="00186872">
        <w:rPr>
          <w:rFonts w:cs="Arial"/>
          <w:szCs w:val="20"/>
        </w:rPr>
        <w:t xml:space="preserve">tablici prema </w:t>
      </w:r>
      <w:r w:rsidR="00424130" w:rsidRPr="00186872">
        <w:rPr>
          <w:rFonts w:cs="Arial"/>
          <w:szCs w:val="20"/>
        </w:rPr>
        <w:t xml:space="preserve">područjima, odjeljcima i/ili razredima </w:t>
      </w:r>
      <w:r w:rsidR="009C4642" w:rsidRPr="00186872">
        <w:rPr>
          <w:rFonts w:cs="Arial"/>
          <w:szCs w:val="20"/>
        </w:rPr>
        <w:t>Nacionaln</w:t>
      </w:r>
      <w:r w:rsidR="00424130" w:rsidRPr="00186872">
        <w:rPr>
          <w:rFonts w:cs="Arial"/>
          <w:szCs w:val="20"/>
        </w:rPr>
        <w:t>e</w:t>
      </w:r>
      <w:r w:rsidR="009C4642" w:rsidRPr="00186872">
        <w:rPr>
          <w:rFonts w:cs="Arial"/>
          <w:szCs w:val="20"/>
        </w:rPr>
        <w:t xml:space="preserve"> klasifikacije djelatnosti</w:t>
      </w:r>
      <w:r w:rsidRPr="00186872">
        <w:rPr>
          <w:rFonts w:cs="Arial"/>
          <w:szCs w:val="20"/>
        </w:rPr>
        <w:t xml:space="preserve"> (dalje</w:t>
      </w:r>
      <w:r w:rsidR="00424130" w:rsidRPr="00186872">
        <w:rPr>
          <w:rFonts w:cs="Arial"/>
          <w:szCs w:val="20"/>
        </w:rPr>
        <w:t>:</w:t>
      </w:r>
      <w:r w:rsidRPr="00186872">
        <w:rPr>
          <w:rFonts w:cs="Arial"/>
          <w:szCs w:val="20"/>
        </w:rPr>
        <w:t xml:space="preserve"> NKD)</w:t>
      </w:r>
      <w:r w:rsidR="009C4642" w:rsidRPr="00186872">
        <w:rPr>
          <w:rFonts w:cs="Arial"/>
          <w:szCs w:val="20"/>
        </w:rPr>
        <w:t xml:space="preserve">. </w:t>
      </w:r>
    </w:p>
    <w:p w14:paraId="3B167A7A" w14:textId="6244FB8E" w:rsidR="0094020A" w:rsidRDefault="0099257F" w:rsidP="003E6B2A">
      <w:pPr>
        <w:spacing w:after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Kao izuzeća se navode djelatnosti u</w:t>
      </w:r>
      <w:r w:rsidR="009C4642" w:rsidRPr="00186872">
        <w:rPr>
          <w:rFonts w:cs="Arial"/>
          <w:szCs w:val="20"/>
        </w:rPr>
        <w:t>nutar navedenih područja</w:t>
      </w:r>
      <w:r w:rsidR="00424130" w:rsidRPr="00186872">
        <w:rPr>
          <w:rFonts w:cs="Arial"/>
          <w:szCs w:val="20"/>
        </w:rPr>
        <w:t>, odjeljaka i/ili razreda</w:t>
      </w:r>
      <w:r w:rsidRPr="00186872">
        <w:rPr>
          <w:rFonts w:cs="Arial"/>
          <w:szCs w:val="20"/>
        </w:rPr>
        <w:t>,</w:t>
      </w:r>
      <w:r w:rsidR="009C4642" w:rsidRPr="00186872">
        <w:rPr>
          <w:rFonts w:cs="Arial"/>
          <w:szCs w:val="20"/>
        </w:rPr>
        <w:t xml:space="preserve"> koje </w:t>
      </w:r>
      <w:r w:rsidR="009C4642" w:rsidRPr="00186872">
        <w:rPr>
          <w:rFonts w:cs="Arial"/>
          <w:b/>
          <w:bCs/>
          <w:szCs w:val="20"/>
        </w:rPr>
        <w:t>nisu djelatnosti od posebnog interesa</w:t>
      </w:r>
      <w:r w:rsidR="00522682" w:rsidRPr="00186872">
        <w:rPr>
          <w:rFonts w:cs="Arial"/>
          <w:b/>
          <w:bCs/>
          <w:szCs w:val="20"/>
        </w:rPr>
        <w:t xml:space="preserve"> i/ili se radi o djelatnostima i namjenama koje nisu prihvatljive za financiranje</w:t>
      </w:r>
      <w:bookmarkEnd w:id="55"/>
      <w:r w:rsidR="00522682" w:rsidRPr="00186872">
        <w:rPr>
          <w:rFonts w:cs="Arial"/>
          <w:b/>
          <w:bCs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9"/>
      </w:tblGrid>
      <w:tr w:rsidR="00186872" w:rsidRPr="00186872" w14:paraId="46C534E3" w14:textId="77777777" w:rsidTr="00B31C9E">
        <w:tc>
          <w:tcPr>
            <w:tcW w:w="4508" w:type="dxa"/>
            <w:shd w:val="pct10" w:color="auto" w:fill="auto"/>
            <w:vAlign w:val="center"/>
          </w:tcPr>
          <w:p w14:paraId="553658D3" w14:textId="56DF8D7F" w:rsidR="000A11B2" w:rsidRPr="00186872" w:rsidRDefault="00DC71ED" w:rsidP="00370249">
            <w:pPr>
              <w:spacing w:before="40" w:after="40" w:line="276" w:lineRule="auto"/>
              <w:rPr>
                <w:rFonts w:cs="Arial"/>
                <w:b/>
                <w:sz w:val="18"/>
                <w:szCs w:val="18"/>
              </w:rPr>
            </w:pPr>
            <w:r w:rsidRPr="00186872">
              <w:rPr>
                <w:rFonts w:cs="Arial"/>
                <w:b/>
                <w:sz w:val="18"/>
                <w:szCs w:val="18"/>
              </w:rPr>
              <w:t xml:space="preserve">Djelatnosti </w:t>
            </w:r>
            <w:r w:rsidR="00ED006C" w:rsidRPr="00186872">
              <w:rPr>
                <w:rFonts w:cs="Arial"/>
                <w:b/>
                <w:sz w:val="18"/>
                <w:szCs w:val="18"/>
              </w:rPr>
              <w:t>od posebnog interesa</w:t>
            </w:r>
          </w:p>
        </w:tc>
        <w:tc>
          <w:tcPr>
            <w:tcW w:w="4509" w:type="dxa"/>
            <w:shd w:val="pct10" w:color="auto" w:fill="auto"/>
          </w:tcPr>
          <w:p w14:paraId="20FA8B78" w14:textId="2D3AF56B" w:rsidR="000A11B2" w:rsidRPr="00186872" w:rsidRDefault="00522682" w:rsidP="00370249">
            <w:pPr>
              <w:spacing w:before="40" w:after="40" w:line="276" w:lineRule="auto"/>
              <w:rPr>
                <w:rFonts w:cs="Arial"/>
                <w:b/>
                <w:sz w:val="18"/>
                <w:szCs w:val="18"/>
              </w:rPr>
            </w:pPr>
            <w:r w:rsidRPr="00186872">
              <w:rPr>
                <w:rFonts w:cs="Arial"/>
                <w:b/>
                <w:sz w:val="18"/>
                <w:szCs w:val="18"/>
              </w:rPr>
              <w:t>Izuzeća</w:t>
            </w:r>
          </w:p>
        </w:tc>
      </w:tr>
      <w:tr w:rsidR="00186872" w:rsidRPr="00186872" w14:paraId="050B9641" w14:textId="77777777" w:rsidTr="00B31C9E">
        <w:tc>
          <w:tcPr>
            <w:tcW w:w="4508" w:type="dxa"/>
          </w:tcPr>
          <w:p w14:paraId="5AE8A164" w14:textId="4CFD874D" w:rsidR="00DC71ED" w:rsidRPr="00186872" w:rsidRDefault="000A11B2" w:rsidP="00370249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 xml:space="preserve">01 </w:t>
            </w:r>
            <w:r w:rsidR="00544E85" w:rsidRPr="00186872">
              <w:rPr>
                <w:rFonts w:cs="Arial"/>
                <w:sz w:val="18"/>
                <w:szCs w:val="18"/>
              </w:rPr>
              <w:t>–</w:t>
            </w:r>
            <w:r w:rsidRPr="00186872">
              <w:rPr>
                <w:rFonts w:cs="Arial"/>
                <w:sz w:val="18"/>
                <w:szCs w:val="18"/>
              </w:rPr>
              <w:t xml:space="preserve"> Biljna i stočarska proizvodnja</w:t>
            </w:r>
          </w:p>
          <w:p w14:paraId="6809D5F7" w14:textId="0AF0F32D" w:rsidR="000A11B2" w:rsidRPr="00186872" w:rsidRDefault="000A11B2" w:rsidP="00370249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>od 01.1</w:t>
            </w:r>
            <w:r w:rsidR="000219C8" w:rsidRPr="00186872">
              <w:rPr>
                <w:rFonts w:cs="Arial"/>
                <w:sz w:val="18"/>
                <w:szCs w:val="18"/>
              </w:rPr>
              <w:t>1</w:t>
            </w:r>
            <w:r w:rsidRPr="00186872">
              <w:rPr>
                <w:rFonts w:cs="Arial"/>
                <w:sz w:val="18"/>
                <w:szCs w:val="18"/>
              </w:rPr>
              <w:t xml:space="preserve"> do 01.5</w:t>
            </w:r>
            <w:r w:rsidR="000219C8" w:rsidRPr="00186872">
              <w:rPr>
                <w:rFonts w:cs="Arial"/>
                <w:sz w:val="18"/>
                <w:szCs w:val="18"/>
              </w:rPr>
              <w:t>0</w:t>
            </w:r>
            <w:r w:rsidRPr="00186872">
              <w:rPr>
                <w:rFonts w:cs="Arial"/>
                <w:sz w:val="18"/>
                <w:szCs w:val="18"/>
              </w:rPr>
              <w:t xml:space="preserve"> osim </w:t>
            </w:r>
            <w:r w:rsidR="00DC71ED" w:rsidRPr="00186872">
              <w:rPr>
                <w:rFonts w:cs="Arial"/>
                <w:sz w:val="18"/>
                <w:szCs w:val="18"/>
              </w:rPr>
              <w:t>01.15</w:t>
            </w:r>
          </w:p>
          <w:p w14:paraId="57BD75E4" w14:textId="353C6EF6" w:rsidR="004B491D" w:rsidRPr="00186872" w:rsidRDefault="000A11B2" w:rsidP="00370249">
            <w:pPr>
              <w:spacing w:before="40" w:after="40" w:line="276" w:lineRule="auto"/>
              <w:rPr>
                <w:rFonts w:cs="Arial"/>
                <w:b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 xml:space="preserve">03 </w:t>
            </w:r>
            <w:r w:rsidR="00544E85" w:rsidRPr="00186872">
              <w:rPr>
                <w:rFonts w:cs="Arial"/>
                <w:sz w:val="18"/>
                <w:szCs w:val="18"/>
              </w:rPr>
              <w:t>–</w:t>
            </w:r>
            <w:r w:rsidRPr="00186872">
              <w:rPr>
                <w:rFonts w:cs="Arial"/>
                <w:sz w:val="18"/>
                <w:szCs w:val="18"/>
              </w:rPr>
              <w:t xml:space="preserve"> Ribarstvo</w:t>
            </w:r>
          </w:p>
        </w:tc>
        <w:tc>
          <w:tcPr>
            <w:tcW w:w="4509" w:type="dxa"/>
          </w:tcPr>
          <w:p w14:paraId="669D7139" w14:textId="4C498E3D" w:rsidR="00DC71ED" w:rsidRPr="00186872" w:rsidRDefault="00641B96" w:rsidP="00370249">
            <w:pPr>
              <w:spacing w:before="40"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>01.15 Uzgoj duhana</w:t>
            </w:r>
          </w:p>
          <w:p w14:paraId="1A608CF0" w14:textId="1DE86046" w:rsidR="004B491D" w:rsidRPr="00186872" w:rsidRDefault="004B491D" w:rsidP="00370249">
            <w:pPr>
              <w:spacing w:before="40" w:after="40" w:line="276" w:lineRule="auto"/>
              <w:jc w:val="both"/>
              <w:rPr>
                <w:rFonts w:cs="Arial"/>
                <w:b/>
                <w:sz w:val="18"/>
                <w:szCs w:val="18"/>
              </w:rPr>
            </w:pPr>
          </w:p>
        </w:tc>
      </w:tr>
      <w:tr w:rsidR="00186872" w:rsidRPr="00186872" w14:paraId="14BAD719" w14:textId="77777777" w:rsidTr="00B31C9E">
        <w:tc>
          <w:tcPr>
            <w:tcW w:w="4508" w:type="dxa"/>
          </w:tcPr>
          <w:p w14:paraId="2F253E38" w14:textId="76C21FE4" w:rsidR="000A11B2" w:rsidRPr="00186872" w:rsidRDefault="004B491D" w:rsidP="00370249">
            <w:pPr>
              <w:spacing w:before="40" w:after="40" w:line="276" w:lineRule="auto"/>
              <w:rPr>
                <w:rFonts w:cs="Arial"/>
                <w:bCs/>
                <w:sz w:val="18"/>
                <w:szCs w:val="18"/>
              </w:rPr>
            </w:pPr>
            <w:r w:rsidRPr="00186872">
              <w:rPr>
                <w:rFonts w:cs="Arial"/>
                <w:bCs/>
                <w:sz w:val="18"/>
                <w:szCs w:val="18"/>
              </w:rPr>
              <w:t>Prerađivačka industrija</w:t>
            </w:r>
            <w:r w:rsidR="002805F2" w:rsidRPr="00186872">
              <w:rPr>
                <w:rFonts w:cs="Arial"/>
                <w:bCs/>
                <w:sz w:val="18"/>
                <w:szCs w:val="18"/>
              </w:rPr>
              <w:t xml:space="preserve"> (Područje C)</w:t>
            </w:r>
          </w:p>
          <w:p w14:paraId="55168AE4" w14:textId="3FDD2499" w:rsidR="002805F2" w:rsidRPr="00186872" w:rsidRDefault="002805F2" w:rsidP="00370249">
            <w:pPr>
              <w:spacing w:before="40" w:after="40" w:line="276" w:lineRule="auto"/>
              <w:rPr>
                <w:rFonts w:cs="Arial"/>
                <w:bCs/>
                <w:sz w:val="18"/>
                <w:szCs w:val="18"/>
              </w:rPr>
            </w:pPr>
            <w:r w:rsidRPr="00186872">
              <w:rPr>
                <w:rFonts w:cs="Arial"/>
                <w:bCs/>
                <w:sz w:val="18"/>
                <w:szCs w:val="18"/>
              </w:rPr>
              <w:t xml:space="preserve">svi odjeljci </w:t>
            </w:r>
            <w:r w:rsidR="00544E85" w:rsidRPr="00186872">
              <w:rPr>
                <w:rFonts w:cs="Arial"/>
                <w:bCs/>
                <w:sz w:val="18"/>
                <w:szCs w:val="18"/>
              </w:rPr>
              <w:t xml:space="preserve">i razredi </w:t>
            </w:r>
            <w:r w:rsidRPr="00186872">
              <w:rPr>
                <w:rFonts w:cs="Arial"/>
                <w:bCs/>
                <w:sz w:val="18"/>
                <w:szCs w:val="18"/>
              </w:rPr>
              <w:t>osim izuzeća kako je navedeno</w:t>
            </w:r>
          </w:p>
          <w:p w14:paraId="288FDE88" w14:textId="34C5B1ED" w:rsidR="004B491D" w:rsidRPr="00186872" w:rsidRDefault="004B491D" w:rsidP="00370249">
            <w:pPr>
              <w:spacing w:before="40" w:after="40" w:line="276" w:lineRule="auto"/>
              <w:rPr>
                <w:rFonts w:cs="Arial"/>
                <w:bCs/>
                <w:sz w:val="18"/>
                <w:szCs w:val="18"/>
              </w:rPr>
            </w:pPr>
          </w:p>
        </w:tc>
        <w:tc>
          <w:tcPr>
            <w:tcW w:w="4509" w:type="dxa"/>
          </w:tcPr>
          <w:p w14:paraId="07C909E5" w14:textId="6A79B2F9" w:rsidR="000A11B2" w:rsidRPr="00186872" w:rsidRDefault="000A11B2" w:rsidP="00370249">
            <w:pPr>
              <w:spacing w:before="40"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 xml:space="preserve">11 </w:t>
            </w:r>
            <w:r w:rsidR="00544E85" w:rsidRPr="00186872">
              <w:rPr>
                <w:rFonts w:cs="Arial"/>
                <w:sz w:val="18"/>
                <w:szCs w:val="18"/>
              </w:rPr>
              <w:t>–</w:t>
            </w:r>
            <w:r w:rsidRPr="00186872">
              <w:rPr>
                <w:rFonts w:cs="Arial"/>
                <w:sz w:val="18"/>
                <w:szCs w:val="18"/>
              </w:rPr>
              <w:t xml:space="preserve"> Proizvodnja pića od 11.01 do 11.06</w:t>
            </w:r>
          </w:p>
          <w:p w14:paraId="6B4B7EF4" w14:textId="36822540" w:rsidR="000A11B2" w:rsidRPr="00186872" w:rsidRDefault="000A11B2" w:rsidP="00370249">
            <w:pPr>
              <w:spacing w:before="40"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 xml:space="preserve">12 </w:t>
            </w:r>
            <w:r w:rsidR="00544E85" w:rsidRPr="00186872">
              <w:rPr>
                <w:rFonts w:cs="Arial"/>
                <w:sz w:val="18"/>
                <w:szCs w:val="18"/>
              </w:rPr>
              <w:t xml:space="preserve">– </w:t>
            </w:r>
            <w:r w:rsidRPr="00186872">
              <w:rPr>
                <w:rFonts w:cs="Arial"/>
                <w:sz w:val="18"/>
                <w:szCs w:val="18"/>
              </w:rPr>
              <w:t>Proizvodnja duhanskih proizvoda</w:t>
            </w:r>
          </w:p>
          <w:p w14:paraId="3258D39C" w14:textId="32F68612" w:rsidR="00641B96" w:rsidRPr="00186872" w:rsidRDefault="000A11B2" w:rsidP="00370249">
            <w:pPr>
              <w:spacing w:before="40"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 xml:space="preserve">18 </w:t>
            </w:r>
            <w:r w:rsidR="00544E85" w:rsidRPr="00186872">
              <w:rPr>
                <w:rFonts w:cs="Arial"/>
                <w:sz w:val="18"/>
                <w:szCs w:val="18"/>
              </w:rPr>
              <w:t>–</w:t>
            </w:r>
            <w:r w:rsidRPr="00186872">
              <w:rPr>
                <w:rFonts w:cs="Arial"/>
                <w:sz w:val="18"/>
                <w:szCs w:val="18"/>
              </w:rPr>
              <w:t xml:space="preserve"> Tiskanje i umnožavanje snimljenih zapisa</w:t>
            </w:r>
            <w:r w:rsidR="000219C8" w:rsidRPr="00186872">
              <w:rPr>
                <w:rFonts w:cs="Arial"/>
                <w:sz w:val="18"/>
                <w:szCs w:val="18"/>
              </w:rPr>
              <w:t xml:space="preserve"> </w:t>
            </w:r>
            <w:bookmarkStart w:id="56" w:name="_Hlk26971720"/>
            <w:r w:rsidR="003929E1" w:rsidRPr="00186872">
              <w:rPr>
                <w:rFonts w:cs="Arial"/>
                <w:sz w:val="18"/>
                <w:szCs w:val="18"/>
              </w:rPr>
              <w:t xml:space="preserve">samo ako se radi o podnositeljima zahtjeva za kredit </w:t>
            </w:r>
            <w:r w:rsidR="00864D82" w:rsidRPr="00186872">
              <w:rPr>
                <w:rFonts w:cs="Arial"/>
                <w:sz w:val="18"/>
                <w:szCs w:val="18"/>
              </w:rPr>
              <w:t xml:space="preserve">koji se bave ili su vlasnički </w:t>
            </w:r>
            <w:r w:rsidR="003929E1" w:rsidRPr="00186872">
              <w:rPr>
                <w:rFonts w:cs="Arial"/>
                <w:sz w:val="18"/>
                <w:szCs w:val="18"/>
              </w:rPr>
              <w:t>povezani s poslovnim subjektima koji se bave djelatnostima izdavanja novina i drugih povremenih izdanja, djelatnostima proizvodnje i emitiranja radijskog i televizijskog sadržaja, djelatnosti novinskih agencija te uslužnih djelatnosti agencija za oglašavanje i odnosa s javnošću</w:t>
            </w:r>
            <w:bookmarkEnd w:id="56"/>
          </w:p>
        </w:tc>
      </w:tr>
      <w:tr w:rsidR="00186872" w:rsidRPr="00186872" w14:paraId="768B6EF9" w14:textId="77777777" w:rsidTr="00B31C9E">
        <w:trPr>
          <w:trHeight w:val="355"/>
        </w:trPr>
        <w:tc>
          <w:tcPr>
            <w:tcW w:w="4508" w:type="dxa"/>
          </w:tcPr>
          <w:p w14:paraId="5EDAA23D" w14:textId="2883115A" w:rsidR="002F37B0" w:rsidRPr="00186872" w:rsidRDefault="008542FF" w:rsidP="00370249">
            <w:pPr>
              <w:spacing w:before="40" w:after="40" w:line="276" w:lineRule="auto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>62</w:t>
            </w:r>
            <w:r w:rsidR="00DC71ED" w:rsidRPr="00186872">
              <w:rPr>
                <w:rFonts w:cs="Arial"/>
                <w:sz w:val="18"/>
                <w:szCs w:val="18"/>
              </w:rPr>
              <w:t xml:space="preserve"> </w:t>
            </w:r>
            <w:r w:rsidR="00544E85" w:rsidRPr="00186872">
              <w:rPr>
                <w:rFonts w:cs="Arial"/>
                <w:sz w:val="18"/>
                <w:szCs w:val="18"/>
              </w:rPr>
              <w:t>–</w:t>
            </w:r>
            <w:r w:rsidR="00DC71ED" w:rsidRPr="00186872">
              <w:rPr>
                <w:rFonts w:cs="Arial"/>
                <w:sz w:val="18"/>
                <w:szCs w:val="18"/>
              </w:rPr>
              <w:t xml:space="preserve"> </w:t>
            </w:r>
            <w:r w:rsidRPr="00186872">
              <w:rPr>
                <w:rFonts w:cs="Arial"/>
                <w:sz w:val="18"/>
                <w:szCs w:val="18"/>
              </w:rPr>
              <w:t>Računalno programiranje, savjetovanje i djelatnosti povezane s njima</w:t>
            </w:r>
          </w:p>
        </w:tc>
        <w:tc>
          <w:tcPr>
            <w:tcW w:w="4509" w:type="dxa"/>
            <w:vAlign w:val="center"/>
          </w:tcPr>
          <w:p w14:paraId="048ED4EE" w14:textId="473D66D6" w:rsidR="004B491D" w:rsidRPr="00186872" w:rsidRDefault="002805F2" w:rsidP="00370249">
            <w:pPr>
              <w:spacing w:before="40" w:after="40" w:line="276" w:lineRule="auto"/>
              <w:jc w:val="both"/>
              <w:rPr>
                <w:rFonts w:cs="Arial"/>
                <w:sz w:val="18"/>
                <w:szCs w:val="18"/>
              </w:rPr>
            </w:pPr>
            <w:r w:rsidRPr="00186872">
              <w:rPr>
                <w:rFonts w:cs="Arial"/>
                <w:sz w:val="18"/>
                <w:szCs w:val="18"/>
              </w:rPr>
              <w:t>-</w:t>
            </w:r>
          </w:p>
        </w:tc>
      </w:tr>
    </w:tbl>
    <w:p w14:paraId="1B2071DE" w14:textId="4F9DCD6A" w:rsidR="00CC0DFA" w:rsidRPr="00E27923" w:rsidRDefault="00200929" w:rsidP="001A4F54">
      <w:pPr>
        <w:pStyle w:val="HeadingA"/>
        <w:numPr>
          <w:ilvl w:val="0"/>
          <w:numId w:val="4"/>
        </w:numPr>
        <w:spacing w:after="240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57" w:name="_Toc135126321"/>
      <w:bookmarkStart w:id="58" w:name="_Hlk93329816"/>
      <w:bookmarkStart w:id="59" w:name="_Hlk72075681"/>
      <w:bookmarkStart w:id="60" w:name="_Hlk93317538"/>
      <w:bookmarkStart w:id="61" w:name="_Toc534881545"/>
      <w:r w:rsidRPr="00E27923">
        <w:rPr>
          <w:rFonts w:ascii="Arial" w:hAnsi="Arial" w:cs="Arial"/>
          <w:sz w:val="24"/>
          <w:szCs w:val="24"/>
        </w:rPr>
        <w:lastRenderedPageBreak/>
        <w:t>Posebn</w:t>
      </w:r>
      <w:r w:rsidR="009F62F3" w:rsidRPr="00E27923">
        <w:rPr>
          <w:rFonts w:ascii="Arial" w:hAnsi="Arial" w:cs="Arial"/>
          <w:sz w:val="24"/>
          <w:szCs w:val="24"/>
        </w:rPr>
        <w:t>e vrste ulaganja</w:t>
      </w:r>
      <w:bookmarkEnd w:id="57"/>
    </w:p>
    <w:p w14:paraId="45D86C55" w14:textId="1EE6108B" w:rsidR="00F471A4" w:rsidRPr="00186872" w:rsidRDefault="00F471A4" w:rsidP="008E347B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62" w:name="_Toc135126322"/>
      <w:r w:rsidRPr="00186872">
        <w:rPr>
          <w:rFonts w:ascii="Arial" w:hAnsi="Arial" w:cs="Arial"/>
          <w:color w:val="auto"/>
          <w:sz w:val="20"/>
          <w:szCs w:val="20"/>
        </w:rPr>
        <w:t>Zelena tranzicija</w:t>
      </w:r>
      <w:bookmarkEnd w:id="62"/>
    </w:p>
    <w:bookmarkEnd w:id="58"/>
    <w:p w14:paraId="42ACB6CF" w14:textId="4F05DC18" w:rsidR="00877644" w:rsidRPr="00186872" w:rsidRDefault="00F471A4" w:rsidP="00200929">
      <w:pPr>
        <w:shd w:val="clear" w:color="auto" w:fill="FFFFFF"/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Projekti koji prema kriterijima EU taksonomije i pripadajućim propisima (delegiranim aktima) znatno doprinose ostvarenju najmanje jednog od sljedećih okolišnih ciljeva:</w:t>
      </w:r>
    </w:p>
    <w:p w14:paraId="1F132094" w14:textId="37855682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U</w:t>
      </w:r>
      <w:r w:rsidR="00A81267" w:rsidRPr="00186872">
        <w:rPr>
          <w:rFonts w:eastAsia="Times New Roman" w:cs="Arial"/>
          <w:szCs w:val="20"/>
        </w:rPr>
        <w:t>blažavanje klimatskih promjena;</w:t>
      </w:r>
    </w:p>
    <w:p w14:paraId="77F0482B" w14:textId="77777777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P</w:t>
      </w:r>
      <w:r w:rsidR="00A81267" w:rsidRPr="00186872">
        <w:rPr>
          <w:rFonts w:eastAsia="Times New Roman" w:cs="Arial"/>
          <w:szCs w:val="20"/>
        </w:rPr>
        <w:t>rilagođavanje klimatskim promjenama;</w:t>
      </w:r>
    </w:p>
    <w:p w14:paraId="46E247DD" w14:textId="77777777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O</w:t>
      </w:r>
      <w:r w:rsidR="00A81267" w:rsidRPr="00186872">
        <w:rPr>
          <w:rFonts w:eastAsia="Times New Roman" w:cs="Arial"/>
          <w:szCs w:val="20"/>
        </w:rPr>
        <w:t>drživa uporaba i zaštita voda i morskih resursa;</w:t>
      </w:r>
    </w:p>
    <w:p w14:paraId="4A23053F" w14:textId="77777777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P</w:t>
      </w:r>
      <w:r w:rsidR="00A81267" w:rsidRPr="00186872">
        <w:rPr>
          <w:rFonts w:eastAsia="Times New Roman" w:cs="Arial"/>
          <w:szCs w:val="20"/>
        </w:rPr>
        <w:t>rijelaz na kružnu ekonomiju;</w:t>
      </w:r>
    </w:p>
    <w:p w14:paraId="2198FF64" w14:textId="77777777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S</w:t>
      </w:r>
      <w:r w:rsidR="00A81267" w:rsidRPr="00186872">
        <w:rPr>
          <w:rFonts w:eastAsia="Times New Roman" w:cs="Arial"/>
          <w:szCs w:val="20"/>
        </w:rPr>
        <w:t>prečavanje i suzbijanje onečišćenja;</w:t>
      </w:r>
    </w:p>
    <w:p w14:paraId="18EFE509" w14:textId="77777777" w:rsidR="00877644" w:rsidRPr="00186872" w:rsidRDefault="00877644" w:rsidP="001A4F54">
      <w:pPr>
        <w:pStyle w:val="ListParagraph"/>
        <w:numPr>
          <w:ilvl w:val="0"/>
          <w:numId w:val="8"/>
        </w:num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Z</w:t>
      </w:r>
      <w:r w:rsidR="00A81267" w:rsidRPr="00186872">
        <w:rPr>
          <w:rFonts w:eastAsia="Times New Roman" w:cs="Arial"/>
          <w:szCs w:val="20"/>
        </w:rPr>
        <w:t>aštita i obnova biološke raznolikosti i ekosustava</w:t>
      </w:r>
      <w:r w:rsidR="00FC0DF2" w:rsidRPr="00186872">
        <w:rPr>
          <w:rFonts w:eastAsia="Times New Roman" w:cs="Arial"/>
          <w:szCs w:val="20"/>
        </w:rPr>
        <w:t>,</w:t>
      </w:r>
    </w:p>
    <w:p w14:paraId="4114827F" w14:textId="6985D9EA" w:rsidR="00F471A4" w:rsidRPr="00186872" w:rsidRDefault="00FC0DF2" w:rsidP="00877644">
      <w:pPr>
        <w:spacing w:line="276" w:lineRule="auto"/>
        <w:jc w:val="both"/>
        <w:rPr>
          <w:rFonts w:eastAsia="Times New Roman" w:cs="Arial"/>
          <w:szCs w:val="20"/>
        </w:rPr>
      </w:pPr>
      <w:r w:rsidRPr="00186872">
        <w:rPr>
          <w:rFonts w:eastAsia="Times New Roman" w:cs="Arial"/>
          <w:szCs w:val="20"/>
        </w:rPr>
        <w:t>a istovremeno zadovoljavaju načelo nenanošenja bitne štete ostalim okolišnim ciljevima.</w:t>
      </w:r>
    </w:p>
    <w:p w14:paraId="428AA1F1" w14:textId="0A2FDEDF" w:rsidR="001434F8" w:rsidRPr="00186872" w:rsidRDefault="001434F8" w:rsidP="00877644">
      <w:pPr>
        <w:spacing w:line="276" w:lineRule="auto"/>
        <w:jc w:val="both"/>
        <w:rPr>
          <w:rFonts w:eastAsia="Times New Roman" w:cs="Arial"/>
          <w:szCs w:val="20"/>
        </w:rPr>
      </w:pPr>
      <w:r w:rsidRPr="00186872">
        <w:t>Projekti zelene tranzicije obuhvaćaju između ostalog ulaganja kao što su zelene tehnologije, poslovni modeli koji se temelje na kružnom gospodarstvu, obnovljivim izvorima energije, energetskoj učinkovitosti i dr.</w:t>
      </w:r>
    </w:p>
    <w:p w14:paraId="33B4506E" w14:textId="0DF04091" w:rsidR="006D7174" w:rsidRPr="00186872" w:rsidRDefault="00DD2085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63" w:name="_Toc135126323"/>
      <w:r>
        <w:rPr>
          <w:rFonts w:ascii="Arial" w:hAnsi="Arial" w:cs="Arial"/>
          <w:color w:val="auto"/>
          <w:sz w:val="20"/>
          <w:szCs w:val="20"/>
        </w:rPr>
        <w:t>Digitalizacija (digitalna tranzicija)</w:t>
      </w:r>
      <w:bookmarkEnd w:id="63"/>
    </w:p>
    <w:p w14:paraId="3CCAEEE1" w14:textId="2994063B" w:rsidR="005E20B4" w:rsidRPr="00186872" w:rsidRDefault="004A539F" w:rsidP="005E20B4">
      <w:pPr>
        <w:spacing w:line="276" w:lineRule="auto"/>
        <w:jc w:val="both"/>
      </w:pPr>
      <w:bookmarkStart w:id="64" w:name="_Hlk72075750"/>
      <w:bookmarkEnd w:id="59"/>
      <w:bookmarkEnd w:id="60"/>
      <w:r>
        <w:t>Razvoj i/ili u</w:t>
      </w:r>
      <w:r w:rsidR="005E20B4" w:rsidRPr="00186872">
        <w:t>vođenje digitalnih tehnologija (primjerice digitalizacija proizvodnje, nabave i prodaje) u pojedinim područjima poslovanja i njihova potpuna integracija te edukacija zaposlenika i korisnika, a podrazumijeva sljedeća ulaganja:</w:t>
      </w:r>
    </w:p>
    <w:p w14:paraId="503AF1D9" w14:textId="77777777" w:rsidR="005E20B4" w:rsidRPr="00186872" w:rsidRDefault="005E20B4" w:rsidP="00E27923">
      <w:pPr>
        <w:pStyle w:val="ListParagraph"/>
        <w:numPr>
          <w:ilvl w:val="0"/>
          <w:numId w:val="8"/>
        </w:numPr>
        <w:spacing w:line="276" w:lineRule="auto"/>
        <w:ind w:left="714" w:hanging="357"/>
        <w:jc w:val="both"/>
      </w:pPr>
      <w:r w:rsidRPr="00186872">
        <w:t>Digitalna infrastruktura;</w:t>
      </w:r>
    </w:p>
    <w:p w14:paraId="005CEFF2" w14:textId="77777777" w:rsidR="005E20B4" w:rsidRPr="00186872" w:rsidRDefault="005E20B4" w:rsidP="001A4F54">
      <w:pPr>
        <w:pStyle w:val="ListParagraph"/>
        <w:numPr>
          <w:ilvl w:val="0"/>
          <w:numId w:val="8"/>
        </w:numPr>
        <w:spacing w:line="276" w:lineRule="auto"/>
        <w:jc w:val="both"/>
      </w:pPr>
      <w:r w:rsidRPr="00186872">
        <w:t>Digitalna transformacija poduzeća, istraživanje u području digitalnih tehnologija;</w:t>
      </w:r>
    </w:p>
    <w:p w14:paraId="086DCFCA" w14:textId="77777777" w:rsidR="005E20B4" w:rsidRPr="00186872" w:rsidRDefault="005E20B4" w:rsidP="001A4F54">
      <w:pPr>
        <w:pStyle w:val="ListParagraph"/>
        <w:numPr>
          <w:ilvl w:val="0"/>
          <w:numId w:val="8"/>
        </w:numPr>
        <w:spacing w:line="276" w:lineRule="auto"/>
        <w:jc w:val="both"/>
      </w:pPr>
      <w:r w:rsidRPr="00186872">
        <w:t>ICT (ulaganja u informacijsko-komunikacijske tehnologije), digitalni marketing, digitalizacija i automatizacija poslovnih procesa, digitalna nabava, digitalizacija prodajnih predstavnika, promjena svih oblika poslovanja i procesa u kojima su zaposlenici organizacija u interakciji s njezinim korisnicima i slično;</w:t>
      </w:r>
    </w:p>
    <w:p w14:paraId="77C926B0" w14:textId="54E9C5AE" w:rsidR="005E20B4" w:rsidRPr="0026616A" w:rsidRDefault="005E20B4" w:rsidP="001A4F54">
      <w:pPr>
        <w:pStyle w:val="ListParagraph"/>
        <w:numPr>
          <w:ilvl w:val="0"/>
          <w:numId w:val="8"/>
        </w:numPr>
        <w:spacing w:line="276" w:lineRule="auto"/>
        <w:jc w:val="both"/>
      </w:pPr>
      <w:r w:rsidRPr="00186872">
        <w:t>Industrija 4.0 - proizvodni procesi</w:t>
      </w:r>
      <w:r w:rsidRPr="00186872">
        <w:rPr>
          <w:b/>
          <w:bCs/>
        </w:rPr>
        <w:t xml:space="preserve"> </w:t>
      </w:r>
      <w:r w:rsidRPr="00186872">
        <w:rPr>
          <w:rFonts w:eastAsia="Times New Roman"/>
        </w:rPr>
        <w:t>temeljeni na najnovijoj tehnologiji i obuhvaćeni uređajima za međusobno autonomno komuniciranje; strojevi upravljani umjetnom inteligencijom koji mogu samostalno izmjenjivati informacije; primjena modela pametnih tvornica u kojoj robotizirani strojevi upravljaju i nadziru fizičke procese; proizvodni sustav koji može samostalno razmjenjivati informacije tijekom proizvodnog procesa i u svakom trenutku zna u kojoj je fazi izlazni proizvod.</w:t>
      </w:r>
    </w:p>
    <w:p w14:paraId="7F338703" w14:textId="0DE9FAC5" w:rsidR="006D7174" w:rsidRPr="00186872" w:rsidRDefault="00413AB6" w:rsidP="008E347B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65" w:name="_Toc135126324"/>
      <w:r w:rsidRPr="00186872">
        <w:rPr>
          <w:rFonts w:ascii="Arial" w:hAnsi="Arial" w:cs="Arial"/>
          <w:color w:val="auto"/>
          <w:sz w:val="20"/>
          <w:szCs w:val="20"/>
        </w:rPr>
        <w:t>Istraživanja</w:t>
      </w:r>
      <w:r w:rsidR="003A0864" w:rsidRPr="00186872">
        <w:rPr>
          <w:rFonts w:ascii="Arial" w:hAnsi="Arial" w:cs="Arial"/>
          <w:color w:val="auto"/>
          <w:sz w:val="20"/>
          <w:szCs w:val="20"/>
        </w:rPr>
        <w:t>, razvoj i inovacije</w:t>
      </w:r>
      <w:r w:rsidR="0094020A" w:rsidRPr="0094020A">
        <w:rPr>
          <w:rFonts w:ascii="Arial" w:hAnsi="Arial" w:cs="Arial"/>
          <w:color w:val="auto"/>
          <w:sz w:val="20"/>
          <w:szCs w:val="20"/>
        </w:rPr>
        <w:t xml:space="preserve"> </w:t>
      </w:r>
      <w:r w:rsidR="0094020A">
        <w:rPr>
          <w:rFonts w:ascii="Arial" w:hAnsi="Arial" w:cs="Arial"/>
          <w:color w:val="auto"/>
          <w:sz w:val="20"/>
          <w:szCs w:val="20"/>
        </w:rPr>
        <w:t xml:space="preserve">- </w:t>
      </w:r>
      <w:r w:rsidR="0094020A" w:rsidRPr="00186872">
        <w:rPr>
          <w:rFonts w:ascii="Arial" w:hAnsi="Arial" w:cs="Arial"/>
          <w:color w:val="auto"/>
          <w:sz w:val="20"/>
          <w:szCs w:val="20"/>
        </w:rPr>
        <w:t>RDI</w:t>
      </w:r>
      <w:r w:rsidR="0094020A" w:rsidRPr="00186872">
        <w:rPr>
          <w:rFonts w:ascii="Arial" w:hAnsi="Arial" w:cs="Arial"/>
          <w:color w:val="auto"/>
          <w:sz w:val="20"/>
          <w:szCs w:val="20"/>
          <w:vertAlign w:val="superscript"/>
        </w:rPr>
        <w:footnoteReference w:id="2"/>
      </w:r>
      <w:bookmarkEnd w:id="65"/>
    </w:p>
    <w:bookmarkEnd w:id="64"/>
    <w:p w14:paraId="669AD799" w14:textId="595CAED8" w:rsidR="009F62F3" w:rsidRDefault="00AE66B1" w:rsidP="0026616A">
      <w:pPr>
        <w:spacing w:line="276" w:lineRule="auto"/>
        <w:jc w:val="both"/>
        <w:rPr>
          <w:rFonts w:eastAsia="Times New Roman" w:cs="Arial"/>
          <w:szCs w:val="20"/>
          <w:lang w:eastAsia="hr-HR"/>
        </w:rPr>
      </w:pPr>
      <w:r w:rsidRPr="00186872">
        <w:rPr>
          <w:rFonts w:eastAsia="Times New Roman" w:cs="Arial"/>
          <w:szCs w:val="20"/>
          <w:lang w:eastAsia="hr-HR"/>
        </w:rPr>
        <w:t xml:space="preserve">Projekt temeljen na istraživanju, razvoju i inovacijama ili ulaganje u istraživanje, razvoj i inovacije u području proizvoda, procesa, organizacije poslovanja i marketinga (odnosa s kupcima) u poduzeću. Obuhvaća projekte utemeljene na industrijskim i eksperimentalnim istraživanjima; proizvode/usluge/procese i metodologije zaštićene propisima o intelektualnom vlasništvu ali i ostale projekte temeljene na primjeni novog ili bitno izmijenjenog proizvoda (dobra ili usluge), postupka, nove organizacijske metode, poslovne prakse ili nove marketinške metode, te </w:t>
      </w:r>
      <w:r w:rsidR="00BA6F66" w:rsidRPr="00186872">
        <w:rPr>
          <w:rFonts w:eastAsia="Times New Roman" w:cs="Arial"/>
          <w:szCs w:val="20"/>
          <w:lang w:eastAsia="hr-HR"/>
        </w:rPr>
        <w:t>njihovo</w:t>
      </w:r>
      <w:r w:rsidRPr="00186872">
        <w:rPr>
          <w:rFonts w:eastAsia="Times New Roman" w:cs="Arial"/>
          <w:szCs w:val="20"/>
          <w:lang w:eastAsia="hr-HR"/>
        </w:rPr>
        <w:t xml:space="preserve"> uvođenje u praktičnu upotrebu odnosno - komercijalizaciju</w:t>
      </w:r>
      <w:r w:rsidR="006E36DB" w:rsidRPr="00186872">
        <w:rPr>
          <w:rFonts w:eastAsia="Times New Roman" w:cs="Arial"/>
          <w:szCs w:val="20"/>
          <w:lang w:eastAsia="hr-HR"/>
        </w:rPr>
        <w:t xml:space="preserve"> ili proširenje postojećih proizvodno/uslužnih kapaciteta za poslovanje utemeljeno na RDI-u</w:t>
      </w:r>
      <w:r w:rsidRPr="00186872">
        <w:rPr>
          <w:rFonts w:eastAsia="Times New Roman" w:cs="Arial"/>
          <w:szCs w:val="20"/>
          <w:lang w:eastAsia="hr-HR"/>
        </w:rPr>
        <w:t>.</w:t>
      </w:r>
    </w:p>
    <w:p w14:paraId="13676B22" w14:textId="5E86D31F" w:rsidR="005A63E6" w:rsidRDefault="005A63E6" w:rsidP="005A63E6">
      <w:pPr>
        <w:spacing w:line="276" w:lineRule="auto"/>
        <w:jc w:val="both"/>
        <w:rPr>
          <w:rFonts w:eastAsia="Times New Roman" w:cs="Arial"/>
          <w:szCs w:val="20"/>
          <w:lang w:eastAsia="hr-HR"/>
        </w:rPr>
      </w:pPr>
      <w:r>
        <w:rPr>
          <w:rFonts w:eastAsia="Times New Roman" w:cs="Arial"/>
          <w:szCs w:val="20"/>
          <w:lang w:eastAsia="hr-HR"/>
        </w:rPr>
        <w:t xml:space="preserve">U područje ulaganja u Istraživanja, razvoj i inovacije mogu se uključiti ulaganja u sve djelatnosti ako imaju navedene značajke i ako nisu isključena ovim Općim kriterijima prihvatljivosti. </w:t>
      </w:r>
    </w:p>
    <w:p w14:paraId="279968A4" w14:textId="359DA44C" w:rsidR="00A00204" w:rsidRPr="00186872" w:rsidRDefault="00A00204" w:rsidP="00A00204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66" w:name="_Toc135126325"/>
      <w:r w:rsidRPr="00186872">
        <w:rPr>
          <w:rFonts w:ascii="Arial" w:hAnsi="Arial" w:cs="Arial"/>
          <w:color w:val="auto"/>
          <w:sz w:val="20"/>
          <w:szCs w:val="20"/>
        </w:rPr>
        <w:t>Ulaganja s ciljem oporavka od posljedica potresa</w:t>
      </w:r>
      <w:bookmarkEnd w:id="66"/>
    </w:p>
    <w:p w14:paraId="435024EF" w14:textId="24AFE9A6" w:rsidR="001434F8" w:rsidRPr="00186872" w:rsidRDefault="00A00204" w:rsidP="00A00204">
      <w:pPr>
        <w:pStyle w:val="ListParagraph"/>
        <w:spacing w:line="276" w:lineRule="auto"/>
        <w:ind w:left="0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Ulaganja usmjerena na sanaciju, otklanjanje i/ili umanjenje posljedica potresa</w:t>
      </w:r>
      <w:r w:rsidR="002E1395">
        <w:rPr>
          <w:rFonts w:cs="Arial"/>
          <w:szCs w:val="20"/>
        </w:rPr>
        <w:t>.</w:t>
      </w:r>
    </w:p>
    <w:p w14:paraId="6597CBAF" w14:textId="2D2D0A0B" w:rsidR="006D7174" w:rsidRPr="00186872" w:rsidRDefault="006D7174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67" w:name="_Toc135126326"/>
      <w:r w:rsidRPr="00186872">
        <w:rPr>
          <w:rFonts w:ascii="Arial" w:hAnsi="Arial" w:cs="Arial"/>
          <w:color w:val="auto"/>
          <w:sz w:val="20"/>
          <w:szCs w:val="20"/>
        </w:rPr>
        <w:t xml:space="preserve">Socijalna infrastruktura i/ili </w:t>
      </w:r>
      <w:r w:rsidR="00D749B4" w:rsidRPr="00186872">
        <w:rPr>
          <w:rFonts w:ascii="Arial" w:hAnsi="Arial" w:cs="Arial"/>
          <w:color w:val="auto"/>
          <w:sz w:val="20"/>
          <w:szCs w:val="20"/>
        </w:rPr>
        <w:t>ulaganja usmjeren</w:t>
      </w:r>
      <w:r w:rsidR="00FE4B95" w:rsidRPr="00186872">
        <w:rPr>
          <w:rFonts w:ascii="Arial" w:hAnsi="Arial" w:cs="Arial"/>
          <w:color w:val="auto"/>
          <w:sz w:val="20"/>
          <w:szCs w:val="20"/>
        </w:rPr>
        <w:t>a</w:t>
      </w:r>
      <w:r w:rsidR="00D749B4" w:rsidRPr="00186872">
        <w:rPr>
          <w:rFonts w:ascii="Arial" w:hAnsi="Arial" w:cs="Arial"/>
          <w:color w:val="auto"/>
          <w:sz w:val="20"/>
          <w:szCs w:val="20"/>
        </w:rPr>
        <w:t xml:space="preserve"> na umanjenje negativnih demografskih kretanja</w:t>
      </w:r>
      <w:bookmarkEnd w:id="67"/>
    </w:p>
    <w:p w14:paraId="12200C2F" w14:textId="77777777" w:rsidR="005A63E6" w:rsidRDefault="005A63E6" w:rsidP="005A63E6">
      <w:pPr>
        <w:shd w:val="clear" w:color="auto" w:fill="FFFFFF"/>
        <w:spacing w:line="276" w:lineRule="auto"/>
        <w:jc w:val="both"/>
        <w:rPr>
          <w:rFonts w:eastAsia="Times New Roman" w:cs="Arial"/>
          <w:szCs w:val="20"/>
        </w:rPr>
      </w:pPr>
      <w:r w:rsidRPr="00675751">
        <w:rPr>
          <w:rFonts w:eastAsia="Times New Roman" w:cs="Arial"/>
          <w:szCs w:val="20"/>
        </w:rPr>
        <w:t>Projekti jedinica lokalne samouprave ili društava u njihovom većinskom vlasništvu ili većinskom vlasništvu RH i projekti ostalih podnositelja zahtjeva usmjereni na poboljšanje socijalne</w:t>
      </w:r>
      <w:r>
        <w:rPr>
          <w:rFonts w:eastAsia="Times New Roman" w:cs="Arial"/>
          <w:szCs w:val="20"/>
        </w:rPr>
        <w:t xml:space="preserve">, obrazovne, </w:t>
      </w:r>
      <w:r>
        <w:rPr>
          <w:rFonts w:eastAsia="Times New Roman" w:cs="Arial"/>
          <w:szCs w:val="20"/>
        </w:rPr>
        <w:lastRenderedPageBreak/>
        <w:t xml:space="preserve">zdravstvene, </w:t>
      </w:r>
      <w:r w:rsidRPr="00675751">
        <w:rPr>
          <w:rFonts w:eastAsia="Times New Roman" w:cs="Arial"/>
          <w:szCs w:val="20"/>
        </w:rPr>
        <w:t>komunalne infrastrukture</w:t>
      </w:r>
      <w:r>
        <w:rPr>
          <w:rFonts w:eastAsia="Times New Roman" w:cs="Arial"/>
          <w:szCs w:val="20"/>
        </w:rPr>
        <w:t xml:space="preserve"> i prometne povezanosti u urbanim i ruralnim područjima.</w:t>
      </w:r>
      <w:r w:rsidRPr="00675751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>Ocjenjuje se da p</w:t>
      </w:r>
      <w:r w:rsidRPr="00675751">
        <w:rPr>
          <w:rFonts w:eastAsia="Times New Roman" w:cs="Arial"/>
          <w:szCs w:val="20"/>
        </w:rPr>
        <w:t>rovedba projekta pridonosi povećanju standarda komunalnih i socijalnih usluga u lokalnoj zajednici i/ili smanjenju negativnih demografskih kretanja.</w:t>
      </w:r>
    </w:p>
    <w:p w14:paraId="36B2AE77" w14:textId="77777777" w:rsidR="005A63E6" w:rsidRPr="00675751" w:rsidRDefault="005A63E6" w:rsidP="005A63E6">
      <w:pPr>
        <w:shd w:val="clear" w:color="auto" w:fill="FFFFFF"/>
        <w:spacing w:line="276" w:lineRule="auto"/>
        <w:jc w:val="both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U područje ulaganja u Socijalnu infrastrukturu i/ili projekte usmjerene na umanjenje negativnih demografskih kretanja </w:t>
      </w:r>
      <w:r>
        <w:rPr>
          <w:rFonts w:eastAsia="Times New Roman" w:cs="Arial"/>
          <w:color w:val="000000"/>
          <w:szCs w:val="20"/>
          <w:lang w:eastAsia="hr-HR"/>
        </w:rPr>
        <w:t>uključuju se</w:t>
      </w:r>
      <w:r>
        <w:rPr>
          <w:rFonts w:eastAsia="Times New Roman" w:cs="Arial"/>
          <w:szCs w:val="20"/>
          <w:lang w:eastAsia="hr-HR"/>
        </w:rPr>
        <w:t xml:space="preserve"> ulaganja u sve djelatnosti ako imaju navedene značajke i ako nisu isključena ovim Općim kriterijima prihvatljivosti</w:t>
      </w:r>
      <w:r>
        <w:rPr>
          <w:rFonts w:eastAsia="Times New Roman" w:cs="Arial"/>
          <w:szCs w:val="20"/>
        </w:rPr>
        <w:t>. Automatski se uključuju djelatnosti iz sljedećih odjeljaka NKD ako nisu isključene ovim Općim kriterijima prihvatljivosti: 85 Obrazovanje, 86 Djelatnosti zdravstvene zaštite; 87 Djelatnosti socijalne skrbi sa smještajem; 88 Djelatnosti socijalne skrbi bez smještaja.</w:t>
      </w:r>
    </w:p>
    <w:p w14:paraId="402139BC" w14:textId="079B1D69" w:rsidR="00313D89" w:rsidRPr="00E27923" w:rsidRDefault="00313D89" w:rsidP="001A4F54">
      <w:pPr>
        <w:pStyle w:val="HeadingA"/>
        <w:numPr>
          <w:ilvl w:val="0"/>
          <w:numId w:val="4"/>
        </w:numPr>
        <w:spacing w:after="240"/>
        <w:outlineLvl w:val="0"/>
        <w:rPr>
          <w:rFonts w:ascii="Arial" w:hAnsi="Arial" w:cs="Arial"/>
          <w:sz w:val="24"/>
          <w:szCs w:val="24"/>
        </w:rPr>
      </w:pPr>
      <w:bookmarkStart w:id="68" w:name="_Toc135126327"/>
      <w:r w:rsidRPr="00E27923">
        <w:rPr>
          <w:rFonts w:ascii="Arial" w:hAnsi="Arial" w:cs="Arial"/>
          <w:sz w:val="24"/>
          <w:szCs w:val="24"/>
        </w:rPr>
        <w:t>Neprihvatljive aktivnosti</w:t>
      </w:r>
      <w:bookmarkEnd w:id="68"/>
    </w:p>
    <w:p w14:paraId="4E57EE5B" w14:textId="49A2A9A5" w:rsidR="00313D89" w:rsidRPr="00186872" w:rsidRDefault="00313D89" w:rsidP="00313D89">
      <w:pPr>
        <w:spacing w:before="120" w:line="276" w:lineRule="auto"/>
        <w:jc w:val="both"/>
        <w:rPr>
          <w:rFonts w:cs="Arial"/>
        </w:rPr>
      </w:pPr>
      <w:r w:rsidRPr="00186872">
        <w:rPr>
          <w:rFonts w:cs="Arial"/>
        </w:rPr>
        <w:t>Neprihvatljive aktivnosti obuhvaćaju aktivnosti, djelatnosti i namjene koje nisu prihvatljive za financiranje te pripadajuća izuzeća ako postoje.</w:t>
      </w:r>
    </w:p>
    <w:p w14:paraId="0052F21E" w14:textId="78483C73" w:rsidR="00FA6E4D" w:rsidRPr="00186872" w:rsidRDefault="001377AC" w:rsidP="00DD038E">
      <w:pPr>
        <w:spacing w:before="240" w:line="276" w:lineRule="auto"/>
        <w:jc w:val="both"/>
        <w:rPr>
          <w:rFonts w:cs="Arial"/>
        </w:rPr>
      </w:pPr>
      <w:r>
        <w:rPr>
          <w:rFonts w:cs="Arial"/>
        </w:rPr>
        <w:t>Popis neprihvatljivih aktivnosti nalazi se</w:t>
      </w:r>
      <w:r w:rsidR="00313D89" w:rsidRPr="00186872">
        <w:rPr>
          <w:rFonts w:cs="Arial"/>
        </w:rPr>
        <w:t xml:space="preserve"> </w:t>
      </w:r>
      <w:r w:rsidR="00313D89" w:rsidRPr="00186872">
        <w:rPr>
          <w:rFonts w:cs="Arial"/>
          <w:b/>
          <w:bCs/>
        </w:rPr>
        <w:t xml:space="preserve">Prilogu 1. </w:t>
      </w:r>
      <w:r w:rsidR="00313D89" w:rsidRPr="00186872">
        <w:rPr>
          <w:rFonts w:cs="Arial"/>
        </w:rPr>
        <w:t>ovih Općih kriterija prihvatljivosti</w:t>
      </w:r>
    </w:p>
    <w:p w14:paraId="25A6F6B4" w14:textId="4F9A8827" w:rsidR="00F0675B" w:rsidRPr="00E27923" w:rsidRDefault="00F0675B" w:rsidP="001A4F54">
      <w:pPr>
        <w:pStyle w:val="HeadingA"/>
        <w:numPr>
          <w:ilvl w:val="0"/>
          <w:numId w:val="4"/>
        </w:numPr>
        <w:spacing w:after="240" w:line="276" w:lineRule="auto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69" w:name="_Toc534881548"/>
      <w:bookmarkStart w:id="70" w:name="_Toc135126328"/>
      <w:bookmarkEnd w:id="61"/>
      <w:r w:rsidRPr="00E27923">
        <w:rPr>
          <w:rFonts w:ascii="Arial" w:hAnsi="Arial" w:cs="Arial"/>
          <w:sz w:val="24"/>
          <w:szCs w:val="24"/>
        </w:rPr>
        <w:t xml:space="preserve">Poticajne </w:t>
      </w:r>
      <w:bookmarkEnd w:id="69"/>
      <w:bookmarkEnd w:id="70"/>
      <w:r w:rsidR="00A34612" w:rsidRPr="00E27923">
        <w:rPr>
          <w:rFonts w:ascii="Arial" w:hAnsi="Arial" w:cs="Arial"/>
          <w:sz w:val="24"/>
          <w:szCs w:val="24"/>
        </w:rPr>
        <w:t>kamatne stope i propisi o potporama</w:t>
      </w:r>
    </w:p>
    <w:p w14:paraId="63B93CE8" w14:textId="742A8327" w:rsidR="00A76941" w:rsidRDefault="00A76941">
      <w:pPr>
        <w:pStyle w:val="Header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 xml:space="preserve">HBOR </w:t>
      </w:r>
      <w:r w:rsidR="00996FD7">
        <w:rPr>
          <w:rFonts w:cs="Arial"/>
          <w:szCs w:val="20"/>
        </w:rPr>
        <w:t>na temelju</w:t>
      </w:r>
      <w:r w:rsidR="00996FD7" w:rsidRPr="00186872">
        <w:rPr>
          <w:rFonts w:cs="Arial"/>
          <w:szCs w:val="20"/>
        </w:rPr>
        <w:t xml:space="preserve"> </w:t>
      </w:r>
      <w:r w:rsidRPr="00186872">
        <w:rPr>
          <w:rFonts w:cs="Arial"/>
          <w:szCs w:val="20"/>
        </w:rPr>
        <w:t xml:space="preserve">svojih programa kreditiranja </w:t>
      </w:r>
      <w:r w:rsidR="00996FD7">
        <w:rPr>
          <w:rFonts w:cs="Arial"/>
          <w:szCs w:val="20"/>
        </w:rPr>
        <w:t>(uključujući i ostale kreditne proizvod</w:t>
      </w:r>
      <w:r w:rsidR="00151872">
        <w:rPr>
          <w:rFonts w:cs="Arial"/>
          <w:szCs w:val="20"/>
        </w:rPr>
        <w:t>e</w:t>
      </w:r>
      <w:r w:rsidR="00996FD7">
        <w:rPr>
          <w:rFonts w:cs="Arial"/>
          <w:szCs w:val="20"/>
        </w:rPr>
        <w:t xml:space="preserve"> ako </w:t>
      </w:r>
      <w:r w:rsidR="00151872">
        <w:rPr>
          <w:rFonts w:cs="Arial"/>
          <w:szCs w:val="20"/>
        </w:rPr>
        <w:t>je</w:t>
      </w:r>
      <w:r w:rsidR="00996FD7">
        <w:rPr>
          <w:rFonts w:cs="Arial"/>
          <w:szCs w:val="20"/>
        </w:rPr>
        <w:t xml:space="preserve"> primjenjivo) korisnicima kredita </w:t>
      </w:r>
      <w:r w:rsidRPr="00186872">
        <w:rPr>
          <w:rFonts w:cs="Arial"/>
          <w:szCs w:val="20"/>
        </w:rPr>
        <w:t>odobrava kredite</w:t>
      </w:r>
      <w:r w:rsidR="00DB2275" w:rsidRPr="00186872">
        <w:rPr>
          <w:rFonts w:cs="Arial"/>
          <w:szCs w:val="20"/>
        </w:rPr>
        <w:t xml:space="preserve"> uz </w:t>
      </w:r>
      <w:r w:rsidR="00DB2275" w:rsidRPr="00186872">
        <w:rPr>
          <w:rFonts w:cs="Arial"/>
          <w:b/>
          <w:bCs/>
          <w:szCs w:val="20"/>
        </w:rPr>
        <w:t>poticajnu kamatnu stopu ili uz opću kamatnu stopu</w:t>
      </w:r>
      <w:r w:rsidR="00DB2275" w:rsidRPr="00186872">
        <w:rPr>
          <w:rFonts w:cs="Arial"/>
          <w:szCs w:val="20"/>
        </w:rPr>
        <w:t xml:space="preserve"> ako kredit nije moguće odobriti uz poticajnu kamatnu stopu.</w:t>
      </w:r>
    </w:p>
    <w:p w14:paraId="67E4E9FF" w14:textId="1CA0CD5A" w:rsidR="00996FD7" w:rsidRDefault="00996FD7" w:rsidP="008C08FE">
      <w:pPr>
        <w:pStyle w:val="Header"/>
        <w:spacing w:before="240" w:line="276" w:lineRule="auto"/>
        <w:jc w:val="both"/>
        <w:rPr>
          <w:rFonts w:cs="Arial"/>
          <w:b/>
          <w:bCs/>
          <w:szCs w:val="20"/>
        </w:rPr>
      </w:pPr>
      <w:r>
        <w:rPr>
          <w:rFonts w:cs="Arial"/>
          <w:bCs/>
          <w:szCs w:val="20"/>
        </w:rPr>
        <w:t>U slučaju kreditiranja putem financijskih institucija (poslovnih banaka ili leasing društava) i ako je tako propisano programom kreditiranja, kreditnim proizvodom HBOR-a i/ili ugovornom dokumentacijom s financijskim institucijama, kamatnu stopu za krajnjeg korisnika utvrđuje financijska institucija.</w:t>
      </w:r>
    </w:p>
    <w:p w14:paraId="0DCE265E" w14:textId="40657E59" w:rsidR="00996FD7" w:rsidRPr="00A24B03" w:rsidRDefault="00996FD7" w:rsidP="008C08FE">
      <w:pPr>
        <w:pStyle w:val="Header"/>
        <w:spacing w:before="240" w:line="276" w:lineRule="auto"/>
        <w:jc w:val="both"/>
        <w:rPr>
          <w:rFonts w:cs="Arial"/>
          <w:b/>
          <w:bCs/>
          <w:szCs w:val="20"/>
        </w:rPr>
      </w:pPr>
      <w:r w:rsidRPr="00A24B03">
        <w:rPr>
          <w:rFonts w:cs="Arial"/>
          <w:bCs/>
          <w:szCs w:val="20"/>
        </w:rPr>
        <w:t xml:space="preserve">Ako </w:t>
      </w:r>
      <w:r>
        <w:rPr>
          <w:rFonts w:cs="Arial"/>
          <w:bCs/>
          <w:szCs w:val="20"/>
        </w:rPr>
        <w:t>je</w:t>
      </w:r>
      <w:r w:rsidRPr="00A24B03">
        <w:rPr>
          <w:rFonts w:cs="Arial"/>
          <w:bCs/>
          <w:szCs w:val="20"/>
        </w:rPr>
        <w:t xml:space="preserve"> kredit ugov</w:t>
      </w:r>
      <w:r>
        <w:rPr>
          <w:rFonts w:cs="Arial"/>
          <w:bCs/>
          <w:szCs w:val="20"/>
        </w:rPr>
        <w:t>o</w:t>
      </w:r>
      <w:r w:rsidRPr="00A24B03">
        <w:rPr>
          <w:rFonts w:cs="Arial"/>
          <w:bCs/>
          <w:szCs w:val="20"/>
        </w:rPr>
        <w:t>r</w:t>
      </w:r>
      <w:r>
        <w:rPr>
          <w:rFonts w:cs="Arial"/>
          <w:bCs/>
          <w:szCs w:val="20"/>
        </w:rPr>
        <w:t>en</w:t>
      </w:r>
      <w:r w:rsidRPr="00A24B03">
        <w:rPr>
          <w:rFonts w:cs="Arial"/>
          <w:bCs/>
          <w:szCs w:val="20"/>
        </w:rPr>
        <w:t xml:space="preserve"> uz poticajnu kamatnu stopu, HBOR korisniku kredita dodjeljuje potporu. </w:t>
      </w:r>
      <w:r w:rsidRPr="001C569D">
        <w:rPr>
          <w:rFonts w:cs="Arial"/>
          <w:bCs/>
          <w:szCs w:val="20"/>
        </w:rPr>
        <w:t>Ako korisniku kredita nije moguće dodijeliti potporu, kredit se odobrava</w:t>
      </w:r>
      <w:r>
        <w:rPr>
          <w:rFonts w:cs="Arial"/>
          <w:bCs/>
          <w:szCs w:val="20"/>
        </w:rPr>
        <w:t xml:space="preserve"> i ugovara</w:t>
      </w:r>
      <w:r w:rsidRPr="001C569D">
        <w:rPr>
          <w:rFonts w:cs="Arial"/>
          <w:bCs/>
          <w:szCs w:val="20"/>
        </w:rPr>
        <w:t xml:space="preserve"> uz opću kamatnu stopu.</w:t>
      </w:r>
      <w:r w:rsidRPr="00A24B03">
        <w:rPr>
          <w:rFonts w:cs="Arial"/>
          <w:bCs/>
          <w:szCs w:val="20"/>
        </w:rPr>
        <w:t xml:space="preserve"> </w:t>
      </w:r>
    </w:p>
    <w:p w14:paraId="2176A669" w14:textId="77777777" w:rsidR="00996FD7" w:rsidRPr="00E27923" w:rsidRDefault="00996FD7" w:rsidP="00996FD7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71" w:name="_Toc135126329"/>
      <w:r w:rsidRPr="00E27923">
        <w:rPr>
          <w:rFonts w:ascii="Arial" w:hAnsi="Arial" w:cs="Arial"/>
          <w:color w:val="auto"/>
          <w:sz w:val="20"/>
          <w:szCs w:val="20"/>
        </w:rPr>
        <w:t>Poticajna kamatna stopa</w:t>
      </w:r>
      <w:bookmarkEnd w:id="71"/>
      <w:r w:rsidRPr="00E27923">
        <w:rPr>
          <w:rFonts w:ascii="Arial" w:hAnsi="Arial" w:cs="Arial"/>
          <w:color w:val="auto"/>
          <w:sz w:val="20"/>
          <w:szCs w:val="20"/>
        </w:rPr>
        <w:t xml:space="preserve"> </w:t>
      </w:r>
    </w:p>
    <w:p w14:paraId="5FDAC689" w14:textId="6DCCF350" w:rsidR="00996FD7" w:rsidRPr="00B31C9E" w:rsidRDefault="00996FD7" w:rsidP="00996FD7">
      <w:pPr>
        <w:pStyle w:val="Header"/>
        <w:spacing w:line="276" w:lineRule="auto"/>
        <w:jc w:val="both"/>
      </w:pPr>
      <w:r w:rsidRPr="00575CC6">
        <w:rPr>
          <w:rFonts w:cs="Arial"/>
          <w:szCs w:val="20"/>
        </w:rPr>
        <w:t>Kamatna stopa za kredit koji sadrži potporu odnosno kredit je odobren/ugovoren uz</w:t>
      </w:r>
      <w:r w:rsidRPr="00123F37">
        <w:rPr>
          <w:rFonts w:cs="Arial"/>
          <w:szCs w:val="20"/>
        </w:rPr>
        <w:t xml:space="preserve"> efektivnu</w:t>
      </w:r>
      <w:r w:rsidRPr="00186872">
        <w:rPr>
          <w:rFonts w:cs="Arial"/>
          <w:szCs w:val="20"/>
        </w:rPr>
        <w:t xml:space="preserve"> kamatn</w:t>
      </w:r>
      <w:r>
        <w:rPr>
          <w:rFonts w:cs="Arial"/>
          <w:szCs w:val="20"/>
        </w:rPr>
        <w:t>u</w:t>
      </w:r>
      <w:r w:rsidRPr="00186872">
        <w:rPr>
          <w:rFonts w:cs="Arial"/>
          <w:szCs w:val="20"/>
        </w:rPr>
        <w:t xml:space="preserve"> stop</w:t>
      </w:r>
      <w:r>
        <w:rPr>
          <w:rFonts w:cs="Arial"/>
          <w:szCs w:val="20"/>
        </w:rPr>
        <w:t>u</w:t>
      </w:r>
      <w:r w:rsidRPr="00186872">
        <w:rPr>
          <w:rFonts w:cs="Arial"/>
          <w:szCs w:val="20"/>
        </w:rPr>
        <w:t xml:space="preserve"> koja je niža od referentne kamatne stope</w:t>
      </w:r>
      <w:r>
        <w:rPr>
          <w:rFonts w:cs="Arial"/>
          <w:szCs w:val="20"/>
        </w:rPr>
        <w:t xml:space="preserve"> za korisnika kredita</w:t>
      </w:r>
      <w:bookmarkStart w:id="72" w:name="_Hlk135309408"/>
      <w:r w:rsidR="00A34612" w:rsidRPr="00186872">
        <w:rPr>
          <w:rFonts w:cs="Arial"/>
          <w:szCs w:val="20"/>
        </w:rPr>
        <w:t>.</w:t>
      </w:r>
      <w:r w:rsidR="00A34612">
        <w:rPr>
          <w:rStyle w:val="FootnoteReference"/>
          <w:rFonts w:cs="Arial"/>
          <w:szCs w:val="20"/>
        </w:rPr>
        <w:footnoteReference w:id="3"/>
      </w:r>
      <w:bookmarkEnd w:id="72"/>
    </w:p>
    <w:p w14:paraId="42885467" w14:textId="0DD49932" w:rsidR="00996FD7" w:rsidRDefault="00996FD7" w:rsidP="00996FD7">
      <w:pPr>
        <w:pStyle w:val="HeadingA"/>
        <w:numPr>
          <w:ilvl w:val="0"/>
          <w:numId w:val="0"/>
        </w:numPr>
        <w:spacing w:before="240" w:after="0" w:line="276" w:lineRule="auto"/>
        <w:jc w:val="both"/>
        <w:outlineLvl w:val="2"/>
        <w:rPr>
          <w:rFonts w:ascii="Arial" w:hAnsi="Arial" w:cs="Arial"/>
          <w:b w:val="0"/>
          <w:color w:val="auto"/>
          <w:sz w:val="20"/>
          <w:szCs w:val="20"/>
        </w:rPr>
      </w:pPr>
      <w:bookmarkStart w:id="73" w:name="_Toc135126330"/>
      <w:r w:rsidRPr="00186872">
        <w:rPr>
          <w:rFonts w:ascii="Arial" w:hAnsi="Arial" w:cs="Arial"/>
          <w:color w:val="auto"/>
          <w:sz w:val="20"/>
          <w:szCs w:val="20"/>
        </w:rPr>
        <w:t>Opća kamatna stopa</w:t>
      </w:r>
      <w:bookmarkEnd w:id="73"/>
    </w:p>
    <w:p w14:paraId="031ABAAE" w14:textId="77777777" w:rsidR="00996FD7" w:rsidRPr="000F5149" w:rsidRDefault="00996FD7" w:rsidP="000F5149">
      <w:pPr>
        <w:pStyle w:val="Header"/>
        <w:spacing w:line="276" w:lineRule="auto"/>
        <w:jc w:val="both"/>
        <w:rPr>
          <w:rFonts w:cs="Arial"/>
          <w:bCs/>
          <w:szCs w:val="20"/>
        </w:rPr>
      </w:pPr>
      <w:r w:rsidRPr="000F5149">
        <w:rPr>
          <w:rFonts w:cs="Arial"/>
          <w:bCs/>
          <w:szCs w:val="20"/>
        </w:rPr>
        <w:t>Kamatna stopa za kredit koji ne sadrži potporu odnosno</w:t>
      </w:r>
      <w:r w:rsidRPr="000F5149">
        <w:rPr>
          <w:bCs/>
          <w:szCs w:val="20"/>
        </w:rPr>
        <w:t xml:space="preserve"> </w:t>
      </w:r>
      <w:r w:rsidRPr="000F5149">
        <w:rPr>
          <w:rFonts w:cs="Arial"/>
          <w:bCs/>
          <w:szCs w:val="20"/>
        </w:rPr>
        <w:t xml:space="preserve">kredit je odobren/ugovoren uz efektivnu kamatnu stopu koja je jednaka ili veća od referentne kamatne stope za korisnika kredita. </w:t>
      </w:r>
    </w:p>
    <w:p w14:paraId="5D916A5B" w14:textId="77777777" w:rsidR="00996FD7" w:rsidRPr="006B5B3C" w:rsidRDefault="00996FD7" w:rsidP="00996FD7">
      <w:pPr>
        <w:pStyle w:val="Header"/>
        <w:spacing w:before="240" w:line="276" w:lineRule="auto"/>
        <w:jc w:val="both"/>
        <w:rPr>
          <w:rFonts w:cs="Arial"/>
          <w:b/>
          <w:szCs w:val="20"/>
        </w:rPr>
      </w:pPr>
      <w:r w:rsidRPr="00C5737A">
        <w:rPr>
          <w:rFonts w:cs="Arial"/>
          <w:b/>
          <w:szCs w:val="20"/>
        </w:rPr>
        <w:t>Efektivna kamatna stopa</w:t>
      </w:r>
      <w:r w:rsidRPr="006B5B3C">
        <w:rPr>
          <w:rFonts w:cs="Arial"/>
          <w:bCs/>
          <w:szCs w:val="20"/>
        </w:rPr>
        <w:t xml:space="preserve"> (EKS) je kamatna </w:t>
      </w:r>
      <w:r w:rsidRPr="00C5175E">
        <w:rPr>
          <w:rFonts w:cs="Arial"/>
          <w:szCs w:val="20"/>
        </w:rPr>
        <w:t>stopa koja iskazuje ukupne troškove kredita u skladu s važećom Odlukom o efektivnoj kamatnoj stopi HNB-a</w:t>
      </w:r>
      <w:r w:rsidRPr="00AF69EC">
        <w:rPr>
          <w:rFonts w:cs="Arial"/>
          <w:szCs w:val="20"/>
        </w:rPr>
        <w:t>, a utvrđuje se sukladno odredbama internih akata HBOR-a (važećeg Pravilnika o načinu i rokovima obračuna kamata ili drugog zamjenskog akta)</w:t>
      </w:r>
      <w:r w:rsidRPr="00C5175E">
        <w:rPr>
          <w:rFonts w:cs="Arial"/>
          <w:szCs w:val="20"/>
        </w:rPr>
        <w:t>.</w:t>
      </w:r>
    </w:p>
    <w:p w14:paraId="4637D4C1" w14:textId="4443DBB0" w:rsidR="0099257F" w:rsidRPr="00186872" w:rsidRDefault="004174E1" w:rsidP="008C08FE">
      <w:pPr>
        <w:pStyle w:val="Header"/>
        <w:spacing w:before="240" w:line="276" w:lineRule="auto"/>
        <w:jc w:val="both"/>
        <w:rPr>
          <w:rFonts w:cs="Arial"/>
          <w:szCs w:val="20"/>
        </w:rPr>
      </w:pPr>
      <w:r w:rsidRPr="000F5149">
        <w:rPr>
          <w:rFonts w:cs="Arial"/>
          <w:b/>
          <w:szCs w:val="20"/>
        </w:rPr>
        <w:t>Referentna kamatna stopa</w:t>
      </w:r>
      <w:r w:rsidRPr="00186872">
        <w:rPr>
          <w:rFonts w:cs="Arial"/>
          <w:szCs w:val="20"/>
        </w:rPr>
        <w:t xml:space="preserve"> je osnovna stopa (koju izračunava i objavljuje Europska komisija) uvećana za određeni broj baznih bodova (maržu) koji ovise o ocjeni klijenta (kreditni rang) i ocjeni instrumenata osiguranja, u skladu s Priopćenjem Europske komisije.</w:t>
      </w:r>
      <w:r w:rsidR="000F5149" w:rsidRPr="000F5149">
        <w:rPr>
          <w:rFonts w:cs="Arial"/>
          <w:szCs w:val="20"/>
        </w:rPr>
        <w:t xml:space="preserve"> </w:t>
      </w:r>
      <w:r w:rsidR="000F5149" w:rsidRPr="0078490D">
        <w:rPr>
          <w:rFonts w:cs="Arial"/>
          <w:szCs w:val="20"/>
        </w:rPr>
        <w:t>Pravila HBOR-a o određivanju referentnih i diskontnih stopa usklađena su s važećim pravilima Europske komisije, odnosno Priopćenju Komisije o reviziji načina određivanja referentnih i diskontnih stopa (SL C 14, 19.1.2008.).</w:t>
      </w:r>
    </w:p>
    <w:p w14:paraId="589D15B8" w14:textId="77777777" w:rsidR="00DD038E" w:rsidRDefault="00DD038E">
      <w:pPr>
        <w:rPr>
          <w:rFonts w:cs="Arial"/>
          <w:b/>
          <w:szCs w:val="20"/>
        </w:rPr>
      </w:pPr>
      <w:r>
        <w:rPr>
          <w:rFonts w:cs="Arial"/>
          <w:szCs w:val="20"/>
        </w:rPr>
        <w:br w:type="page"/>
      </w:r>
    </w:p>
    <w:p w14:paraId="0A7ECBC3" w14:textId="2B3F573E" w:rsidR="003F4DE7" w:rsidRPr="00186872" w:rsidRDefault="005320FE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74" w:name="_Toc135126331"/>
      <w:bookmarkStart w:id="75" w:name="_Toc4408951"/>
      <w:r w:rsidRPr="00186872">
        <w:rPr>
          <w:rFonts w:ascii="Arial" w:hAnsi="Arial" w:cs="Arial"/>
          <w:color w:val="auto"/>
          <w:sz w:val="20"/>
          <w:szCs w:val="20"/>
        </w:rPr>
        <w:lastRenderedPageBreak/>
        <w:t>Potpor</w:t>
      </w:r>
      <w:r w:rsidR="000C7371" w:rsidRPr="00186872">
        <w:rPr>
          <w:rFonts w:ascii="Arial" w:hAnsi="Arial" w:cs="Arial"/>
          <w:color w:val="auto"/>
          <w:sz w:val="20"/>
          <w:szCs w:val="20"/>
        </w:rPr>
        <w:t>a</w:t>
      </w:r>
      <w:bookmarkEnd w:id="74"/>
    </w:p>
    <w:p w14:paraId="144B4E9F" w14:textId="77777777" w:rsidR="000F5149" w:rsidRPr="000F5149" w:rsidRDefault="000F5149" w:rsidP="000F5149">
      <w:pPr>
        <w:tabs>
          <w:tab w:val="center" w:pos="4536"/>
          <w:tab w:val="right" w:pos="9072"/>
        </w:tabs>
        <w:spacing w:line="276" w:lineRule="auto"/>
        <w:jc w:val="both"/>
        <w:rPr>
          <w:rFonts w:cs="Arial"/>
          <w:szCs w:val="20"/>
        </w:rPr>
      </w:pPr>
      <w:r w:rsidRPr="000F5149">
        <w:rPr>
          <w:rFonts w:cs="Arial"/>
          <w:szCs w:val="20"/>
        </w:rPr>
        <w:t>Potpora u kreditu koji je odobren/ugovoren uz poticajnu kamatnu stopu može biti diskontirani</w:t>
      </w:r>
      <w:r w:rsidRPr="000F5149">
        <w:rPr>
          <w:rFonts w:cs="Arial"/>
          <w:szCs w:val="20"/>
          <w:vertAlign w:val="superscript"/>
        </w:rPr>
        <w:footnoteReference w:id="4"/>
      </w:r>
      <w:r w:rsidRPr="000F5149">
        <w:rPr>
          <w:rFonts w:cs="Arial"/>
          <w:szCs w:val="20"/>
        </w:rPr>
        <w:t xml:space="preserve"> iznos: </w:t>
      </w:r>
    </w:p>
    <w:p w14:paraId="2813D838" w14:textId="3D8149BE" w:rsidR="000F5149" w:rsidRPr="000F5149" w:rsidRDefault="000F5149" w:rsidP="003D4B5E">
      <w:pPr>
        <w:pStyle w:val="ListParagraph"/>
        <w:numPr>
          <w:ilvl w:val="0"/>
          <w:numId w:val="19"/>
        </w:numPr>
        <w:tabs>
          <w:tab w:val="center" w:pos="4536"/>
          <w:tab w:val="right" w:pos="9072"/>
        </w:tabs>
        <w:spacing w:line="276" w:lineRule="auto"/>
        <w:ind w:left="714" w:hanging="357"/>
        <w:jc w:val="both"/>
        <w:rPr>
          <w:rFonts w:cs="Arial"/>
          <w:szCs w:val="20"/>
        </w:rPr>
      </w:pPr>
      <w:r w:rsidRPr="000F5149">
        <w:rPr>
          <w:rFonts w:cs="Arial"/>
          <w:szCs w:val="20"/>
        </w:rPr>
        <w:t>kamate izračunate po kamatnoj stopi koja predstavlja razliku između referentne kamatne stope izračunate za korisnika kredita i efektivne kamatne stope koja je niža od referentne kamatne stope, ili</w:t>
      </w:r>
    </w:p>
    <w:p w14:paraId="2BA80369" w14:textId="566B6FDF" w:rsidR="000F5149" w:rsidRDefault="000F5149" w:rsidP="003D4B5E">
      <w:pPr>
        <w:pStyle w:val="ListParagraph"/>
        <w:numPr>
          <w:ilvl w:val="0"/>
          <w:numId w:val="19"/>
        </w:numPr>
        <w:tabs>
          <w:tab w:val="center" w:pos="4536"/>
          <w:tab w:val="right" w:pos="9072"/>
        </w:tabs>
        <w:spacing w:line="276" w:lineRule="auto"/>
        <w:ind w:left="714" w:hanging="357"/>
        <w:jc w:val="both"/>
        <w:rPr>
          <w:rFonts w:cs="Arial"/>
        </w:rPr>
      </w:pPr>
      <w:r w:rsidRPr="000F5149">
        <w:rPr>
          <w:rFonts w:cs="Arial"/>
        </w:rPr>
        <w:t>kamate izračunate po kamatnoj stopi koja predstavlja umanjenje kamatne stope za korisnika kredita</w:t>
      </w:r>
      <w:r w:rsidR="003D4B5E">
        <w:rPr>
          <w:rFonts w:cs="Arial"/>
        </w:rPr>
        <w:t>, ili</w:t>
      </w:r>
    </w:p>
    <w:p w14:paraId="5CD89418" w14:textId="370D45AE" w:rsidR="000F5149" w:rsidRDefault="000F5149" w:rsidP="003D4B5E">
      <w:pPr>
        <w:pStyle w:val="ListParagraph"/>
        <w:numPr>
          <w:ilvl w:val="0"/>
          <w:numId w:val="19"/>
        </w:numPr>
        <w:tabs>
          <w:tab w:val="center" w:pos="4536"/>
          <w:tab w:val="right" w:pos="9072"/>
        </w:tabs>
        <w:spacing w:line="276" w:lineRule="auto"/>
        <w:ind w:left="714" w:hanging="357"/>
        <w:jc w:val="both"/>
        <w:rPr>
          <w:rFonts w:cs="Arial"/>
        </w:rPr>
      </w:pPr>
      <w:r w:rsidRPr="000F5149">
        <w:rPr>
          <w:rFonts w:cs="Arial"/>
        </w:rPr>
        <w:t>dodijeljenog nominalnog iznosa subvencije kamatne stope</w:t>
      </w:r>
      <w:r w:rsidR="00E27923">
        <w:rPr>
          <w:rFonts w:cs="Arial"/>
        </w:rPr>
        <w:t>.</w:t>
      </w:r>
    </w:p>
    <w:p w14:paraId="688825F2" w14:textId="4FCB7E86" w:rsidR="003D4B5E" w:rsidRPr="003D4B5E" w:rsidRDefault="003D4B5E" w:rsidP="00DD038E">
      <w:pPr>
        <w:tabs>
          <w:tab w:val="center" w:pos="4536"/>
          <w:tab w:val="right" w:pos="9072"/>
        </w:tabs>
        <w:spacing w:before="120" w:line="276" w:lineRule="auto"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>Mogućnost dodjele potpore ovisi o:</w:t>
      </w:r>
    </w:p>
    <w:p w14:paraId="4A24A3A8" w14:textId="77777777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 xml:space="preserve">konkretnom programu kreditiranja ili drugom kreditnom proizvodu HBOR-a, </w:t>
      </w:r>
    </w:p>
    <w:p w14:paraId="7AA74FB3" w14:textId="77777777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>visini referentne kamatne stope za korisnika kredita,</w:t>
      </w:r>
    </w:p>
    <w:p w14:paraId="7FA986E7" w14:textId="2FB1D311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 xml:space="preserve">visini kamatne stope po programu kreditiranja, </w:t>
      </w:r>
      <w:r w:rsidR="00A34612" w:rsidRPr="003D4B5E">
        <w:rPr>
          <w:rFonts w:cs="Arial"/>
          <w:szCs w:val="20"/>
        </w:rPr>
        <w:t xml:space="preserve">odnosno visini kamatne stope koju HBOR posebno utvrđuje za korisnika kredita </w:t>
      </w:r>
      <w:r w:rsidRPr="003D4B5E">
        <w:rPr>
          <w:rFonts w:cs="Arial"/>
          <w:szCs w:val="20"/>
        </w:rPr>
        <w:t>ili visini kamatne stope koju za korisnika kredita utvrđuje financijska institucija,</w:t>
      </w:r>
    </w:p>
    <w:p w14:paraId="25A935F2" w14:textId="77777777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>stopi subvencije ako je primjenjivo,</w:t>
      </w:r>
    </w:p>
    <w:p w14:paraId="67873949" w14:textId="77777777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>mogućim umanjenjima kamatne stope te</w:t>
      </w:r>
    </w:p>
    <w:p w14:paraId="49ADA473" w14:textId="77777777" w:rsidR="003D4B5E" w:rsidRPr="003D4B5E" w:rsidRDefault="003D4B5E" w:rsidP="003D4B5E">
      <w:pPr>
        <w:numPr>
          <w:ilvl w:val="0"/>
          <w:numId w:val="8"/>
        </w:numPr>
        <w:spacing w:line="276" w:lineRule="auto"/>
        <w:contextualSpacing/>
        <w:jc w:val="both"/>
        <w:rPr>
          <w:rFonts w:cs="Arial"/>
          <w:szCs w:val="20"/>
        </w:rPr>
      </w:pPr>
      <w:r w:rsidRPr="003D4B5E">
        <w:rPr>
          <w:rFonts w:cs="Arial"/>
          <w:szCs w:val="20"/>
        </w:rPr>
        <w:t>o mogućnostima korisnika kredita za ostvarenje prava na dodjelu potpore sukladno važećim propisima o državnim potporama i potporama male vrijednosti (uključujući vrstu ulaganja i djelatnosti korisnika te njegove dosad korištene potpore).</w:t>
      </w:r>
    </w:p>
    <w:p w14:paraId="6B37F61F" w14:textId="5D4DFA06" w:rsidR="003F4DE7" w:rsidRPr="00186872" w:rsidRDefault="005164D1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76" w:name="_Toc135126332"/>
      <w:bookmarkEnd w:id="75"/>
      <w:r w:rsidRPr="00186872">
        <w:rPr>
          <w:rFonts w:ascii="Arial" w:hAnsi="Arial" w:cs="Arial"/>
          <w:color w:val="auto"/>
          <w:sz w:val="20"/>
          <w:szCs w:val="20"/>
        </w:rPr>
        <w:t>Vrsta ulaganja i potpore</w:t>
      </w:r>
      <w:bookmarkEnd w:id="76"/>
    </w:p>
    <w:p w14:paraId="016430E3" w14:textId="56C6212B" w:rsidR="005C1C15" w:rsidRDefault="003F4DE7" w:rsidP="00655642">
      <w:pPr>
        <w:pStyle w:val="Header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bCs/>
          <w:szCs w:val="20"/>
        </w:rPr>
        <w:t>U</w:t>
      </w:r>
      <w:r w:rsidR="000C7371" w:rsidRPr="00186872">
        <w:rPr>
          <w:rFonts w:cs="Arial"/>
          <w:szCs w:val="20"/>
        </w:rPr>
        <w:t>laganja u osnovna sredstva</w:t>
      </w:r>
      <w:r w:rsidR="00F0675B" w:rsidRPr="00186872">
        <w:rPr>
          <w:rFonts w:cs="Arial"/>
          <w:szCs w:val="20"/>
        </w:rPr>
        <w:t xml:space="preserve"> (materijaln</w:t>
      </w:r>
      <w:r w:rsidR="000C7371" w:rsidRPr="00186872">
        <w:rPr>
          <w:rFonts w:cs="Arial"/>
          <w:szCs w:val="20"/>
        </w:rPr>
        <w:t>a</w:t>
      </w:r>
      <w:r w:rsidR="00F0675B" w:rsidRPr="00186872">
        <w:rPr>
          <w:rFonts w:cs="Arial"/>
          <w:szCs w:val="20"/>
        </w:rPr>
        <w:t xml:space="preserve"> i</w:t>
      </w:r>
      <w:r w:rsidR="003D4B5E">
        <w:rPr>
          <w:rFonts w:cs="Arial"/>
          <w:szCs w:val="20"/>
        </w:rPr>
        <w:t>/ili</w:t>
      </w:r>
      <w:r w:rsidR="00F0675B" w:rsidRPr="00186872">
        <w:rPr>
          <w:rFonts w:cs="Arial"/>
          <w:szCs w:val="20"/>
        </w:rPr>
        <w:t xml:space="preserve"> nematerijaln</w:t>
      </w:r>
      <w:r w:rsidR="000C7371" w:rsidRPr="00186872">
        <w:rPr>
          <w:rFonts w:cs="Arial"/>
          <w:szCs w:val="20"/>
        </w:rPr>
        <w:t>a</w:t>
      </w:r>
      <w:r w:rsidR="00F0675B" w:rsidRPr="00186872">
        <w:rPr>
          <w:rFonts w:cs="Arial"/>
          <w:szCs w:val="20"/>
        </w:rPr>
        <w:t xml:space="preserve"> </w:t>
      </w:r>
      <w:r w:rsidR="003D4B5E" w:rsidRPr="00186872">
        <w:rPr>
          <w:rFonts w:cs="Arial"/>
          <w:szCs w:val="20"/>
        </w:rPr>
        <w:t>imovin</w:t>
      </w:r>
      <w:r w:rsidR="003D4B5E">
        <w:rPr>
          <w:rFonts w:cs="Arial"/>
          <w:szCs w:val="20"/>
        </w:rPr>
        <w:t>a</w:t>
      </w:r>
      <w:r w:rsidR="00F0675B" w:rsidRPr="00186872">
        <w:rPr>
          <w:rFonts w:cs="Arial"/>
          <w:szCs w:val="20"/>
        </w:rPr>
        <w:t>)</w:t>
      </w:r>
      <w:r w:rsidR="000C7371" w:rsidRPr="00186872">
        <w:rPr>
          <w:rFonts w:cs="Arial"/>
          <w:szCs w:val="20"/>
        </w:rPr>
        <w:t xml:space="preserve"> </w:t>
      </w:r>
      <w:r w:rsidR="005164D1" w:rsidRPr="00186872">
        <w:rPr>
          <w:rFonts w:cs="Arial"/>
          <w:szCs w:val="20"/>
        </w:rPr>
        <w:t xml:space="preserve">u pravilu se </w:t>
      </w:r>
      <w:r w:rsidR="000C7371" w:rsidRPr="00186872">
        <w:rPr>
          <w:rFonts w:cs="Arial"/>
          <w:szCs w:val="20"/>
        </w:rPr>
        <w:t xml:space="preserve">financiraju </w:t>
      </w:r>
      <w:r w:rsidR="005164D1" w:rsidRPr="00186872">
        <w:rPr>
          <w:rFonts w:cs="Arial"/>
          <w:szCs w:val="20"/>
        </w:rPr>
        <w:t xml:space="preserve">prema </w:t>
      </w:r>
      <w:r w:rsidR="00F0675B" w:rsidRPr="00186872">
        <w:rPr>
          <w:rFonts w:cs="Arial"/>
          <w:szCs w:val="20"/>
        </w:rPr>
        <w:t>propisima o državnim potporama</w:t>
      </w:r>
      <w:r w:rsidR="000C6BB0">
        <w:rPr>
          <w:rStyle w:val="FootnoteReference"/>
          <w:rFonts w:cs="Arial"/>
          <w:szCs w:val="20"/>
        </w:rPr>
        <w:footnoteReference w:id="5"/>
      </w:r>
      <w:r w:rsidR="00F0675B" w:rsidRPr="00186872">
        <w:rPr>
          <w:rFonts w:cs="Arial"/>
          <w:szCs w:val="20"/>
        </w:rPr>
        <w:t xml:space="preserve">, </w:t>
      </w:r>
      <w:r w:rsidR="005164D1" w:rsidRPr="00186872">
        <w:rPr>
          <w:rFonts w:cs="Arial"/>
          <w:szCs w:val="20"/>
        </w:rPr>
        <w:t xml:space="preserve">a moguće je i financiranje prema propisima o </w:t>
      </w:r>
      <w:r w:rsidR="00F0675B" w:rsidRPr="00186872">
        <w:rPr>
          <w:rFonts w:cs="Arial"/>
          <w:szCs w:val="20"/>
        </w:rPr>
        <w:t>potporama male vrijednosti,</w:t>
      </w:r>
      <w:r w:rsidR="005164D1" w:rsidRPr="00186872">
        <w:rPr>
          <w:rFonts w:cs="Arial"/>
          <w:szCs w:val="20"/>
        </w:rPr>
        <w:t xml:space="preserve"> dok se ulaganja u obrtna sredstva mogu financirati isključivo prema propisima o potporama male vrijednosti</w:t>
      </w:r>
      <w:r w:rsidR="000C6BB0">
        <w:rPr>
          <w:rStyle w:val="FootnoteReference"/>
          <w:rFonts w:cs="Arial"/>
          <w:szCs w:val="20"/>
        </w:rPr>
        <w:footnoteReference w:id="6"/>
      </w:r>
      <w:r w:rsidR="005164D1" w:rsidRPr="00186872">
        <w:rPr>
          <w:rFonts w:cs="Arial"/>
          <w:szCs w:val="20"/>
        </w:rPr>
        <w:t>.</w:t>
      </w:r>
    </w:p>
    <w:p w14:paraId="7C37B307" w14:textId="3F0771F5" w:rsidR="00F0675B" w:rsidRPr="00DD038E" w:rsidRDefault="00F0675B" w:rsidP="001A4F54">
      <w:pPr>
        <w:pStyle w:val="HeadingA"/>
        <w:numPr>
          <w:ilvl w:val="1"/>
          <w:numId w:val="4"/>
        </w:numPr>
        <w:spacing w:after="240" w:line="276" w:lineRule="auto"/>
        <w:ind w:left="851" w:hanging="567"/>
        <w:outlineLvl w:val="1"/>
        <w:rPr>
          <w:rFonts w:ascii="Arial" w:hAnsi="Arial" w:cs="Arial"/>
        </w:rPr>
      </w:pPr>
      <w:bookmarkStart w:id="77" w:name="_Toc534881549"/>
      <w:bookmarkStart w:id="78" w:name="_Toc135126333"/>
      <w:r w:rsidRPr="00DD038E">
        <w:rPr>
          <w:rFonts w:ascii="Arial" w:hAnsi="Arial" w:cs="Arial"/>
        </w:rPr>
        <w:t>Državne potpore i učinak poticaja</w:t>
      </w:r>
      <w:r w:rsidR="000D4163" w:rsidRPr="00DD038E">
        <w:rPr>
          <w:rStyle w:val="FootnoteReference"/>
          <w:rFonts w:ascii="Arial" w:hAnsi="Arial" w:cs="Arial"/>
          <w:bCs/>
        </w:rPr>
        <w:footnoteReference w:id="7"/>
      </w:r>
      <w:bookmarkEnd w:id="77"/>
      <w:bookmarkEnd w:id="78"/>
    </w:p>
    <w:p w14:paraId="5BFAB100" w14:textId="5818270B" w:rsidR="00DD038E" w:rsidRDefault="00F0675B" w:rsidP="00ED14B2">
      <w:pPr>
        <w:pStyle w:val="Header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 xml:space="preserve">Kreditiranje u režimu državne potpore moguće je </w:t>
      </w:r>
      <w:r w:rsidR="00802B10" w:rsidRPr="00186872">
        <w:rPr>
          <w:rFonts w:cs="Arial"/>
          <w:szCs w:val="20"/>
        </w:rPr>
        <w:t xml:space="preserve">ako </w:t>
      </w:r>
      <w:r w:rsidRPr="00186872">
        <w:rPr>
          <w:rFonts w:cs="Arial"/>
          <w:szCs w:val="20"/>
        </w:rPr>
        <w:t>potpora ima učinak poticaja</w:t>
      </w:r>
      <w:r w:rsidR="00802B10" w:rsidRPr="00186872">
        <w:rPr>
          <w:rFonts w:cs="Arial"/>
          <w:szCs w:val="20"/>
        </w:rPr>
        <w:t xml:space="preserve"> što znači da </w:t>
      </w:r>
      <w:r w:rsidR="00797165" w:rsidRPr="00186872">
        <w:rPr>
          <w:rFonts w:cs="Arial"/>
          <w:szCs w:val="20"/>
        </w:rPr>
        <w:t xml:space="preserve">korisnik kredita (korisnik potpore) </w:t>
      </w:r>
      <w:r w:rsidR="00802B10" w:rsidRPr="00186872">
        <w:rPr>
          <w:rFonts w:cs="Arial"/>
          <w:szCs w:val="20"/>
        </w:rPr>
        <w:t xml:space="preserve">treba </w:t>
      </w:r>
      <w:r w:rsidR="00797165" w:rsidRPr="00186872">
        <w:rPr>
          <w:rFonts w:cs="Arial"/>
          <w:szCs w:val="20"/>
        </w:rPr>
        <w:t>podn</w:t>
      </w:r>
      <w:r w:rsidR="00802B10" w:rsidRPr="00186872">
        <w:rPr>
          <w:rFonts w:cs="Arial"/>
          <w:szCs w:val="20"/>
        </w:rPr>
        <w:t xml:space="preserve">ijeti </w:t>
      </w:r>
      <w:r w:rsidRPr="00DD038E">
        <w:rPr>
          <w:rFonts w:cs="Arial"/>
          <w:b/>
          <w:bCs/>
          <w:szCs w:val="20"/>
        </w:rPr>
        <w:t>pisani zahtjev za potporu</w:t>
      </w:r>
      <w:r w:rsidRPr="00186872">
        <w:rPr>
          <w:rFonts w:cs="Arial"/>
          <w:szCs w:val="20"/>
        </w:rPr>
        <w:t xml:space="preserve"> sadržanu u kreditu HBOR-a prije početka radova</w:t>
      </w:r>
      <w:r w:rsidR="00797165" w:rsidRPr="00186872">
        <w:rPr>
          <w:rStyle w:val="FootnoteReference"/>
          <w:rFonts w:cs="Arial"/>
          <w:szCs w:val="20"/>
        </w:rPr>
        <w:footnoteReference w:id="8"/>
      </w:r>
      <w:r w:rsidRPr="00186872">
        <w:rPr>
          <w:rFonts w:cs="Arial"/>
          <w:szCs w:val="20"/>
        </w:rPr>
        <w:t xml:space="preserve"> na projektu.</w:t>
      </w:r>
    </w:p>
    <w:p w14:paraId="22614B47" w14:textId="554C3167" w:rsidR="003A57E3" w:rsidRDefault="00DD038E" w:rsidP="003A57E3">
      <w:pPr>
        <w:pStyle w:val="Header"/>
        <w:spacing w:before="240" w:line="276" w:lineRule="auto"/>
        <w:jc w:val="both"/>
        <w:rPr>
          <w:rFonts w:cs="Arial"/>
          <w:szCs w:val="20"/>
        </w:rPr>
      </w:pPr>
      <w:r w:rsidRPr="004701A6">
        <w:rPr>
          <w:rFonts w:cs="Arial"/>
          <w:bCs/>
          <w:szCs w:val="20"/>
        </w:rPr>
        <w:t xml:space="preserve">Kao opravdani troškovi na planiranom projektu mogu se priznati isključivo troškovi nastali </w:t>
      </w:r>
      <w:r w:rsidRPr="00DD038E">
        <w:rPr>
          <w:rFonts w:cs="Arial"/>
          <w:bCs/>
          <w:iCs/>
          <w:szCs w:val="20"/>
        </w:rPr>
        <w:t>nakon predaje</w:t>
      </w:r>
      <w:r w:rsidRPr="00186872">
        <w:rPr>
          <w:rFonts w:cs="Arial"/>
          <w:b/>
          <w:bCs/>
          <w:iCs/>
          <w:szCs w:val="20"/>
        </w:rPr>
        <w:t xml:space="preserve"> </w:t>
      </w:r>
      <w:r w:rsidRPr="00DD038E">
        <w:rPr>
          <w:rFonts w:cs="Arial"/>
          <w:iCs/>
          <w:szCs w:val="20"/>
        </w:rPr>
        <w:t>pisanog zahtjeva za potporu.</w:t>
      </w:r>
      <w:r w:rsidR="00FF19C0">
        <w:rPr>
          <w:rFonts w:cs="Arial"/>
          <w:szCs w:val="20"/>
        </w:rPr>
        <w:t xml:space="preserve"> </w:t>
      </w:r>
      <w:r w:rsidR="003A57E3">
        <w:rPr>
          <w:rFonts w:cs="Arial"/>
          <w:szCs w:val="20"/>
        </w:rPr>
        <w:t xml:space="preserve">U slučaju izravnog kreditiranja zahtjev se podnosi </w:t>
      </w:r>
      <w:r w:rsidR="003A57E3" w:rsidRPr="00186872">
        <w:rPr>
          <w:rFonts w:cs="Arial"/>
          <w:szCs w:val="20"/>
        </w:rPr>
        <w:t>HBOR-u</w:t>
      </w:r>
      <w:r w:rsidR="003A57E3">
        <w:rPr>
          <w:rFonts w:cs="Arial"/>
          <w:szCs w:val="20"/>
        </w:rPr>
        <w:t>, a u slučaju kreditiranja u suradnji s financijskim institucijama zahtjev se podnosi financijskoj instituciji (poslovnoj banci ili leasing društvu).</w:t>
      </w:r>
    </w:p>
    <w:p w14:paraId="140F4BBC" w14:textId="60E92EFF" w:rsidR="00ED14B2" w:rsidRPr="00186872" w:rsidRDefault="00DD038E" w:rsidP="00DD038E">
      <w:pPr>
        <w:pStyle w:val="Header"/>
        <w:spacing w:before="240" w:line="276" w:lineRule="auto"/>
        <w:jc w:val="both"/>
        <w:rPr>
          <w:rFonts w:cs="Arial"/>
          <w:szCs w:val="20"/>
        </w:rPr>
      </w:pPr>
      <w:r w:rsidRPr="003D4B5E">
        <w:rPr>
          <w:rFonts w:cs="Arial"/>
          <w:iCs/>
          <w:szCs w:val="20"/>
        </w:rPr>
        <w:lastRenderedPageBreak/>
        <w:t xml:space="preserve">Pisani zahtjev za potporu mora sadržavati minimalno: </w:t>
      </w:r>
      <w:r w:rsidR="00A34612" w:rsidRPr="003D4B5E">
        <w:rPr>
          <w:rFonts w:cs="Arial"/>
          <w:iCs/>
          <w:szCs w:val="20"/>
        </w:rPr>
        <w:t xml:space="preserve">naziv i veličinu </w:t>
      </w:r>
      <w:r w:rsidRPr="003D4B5E">
        <w:rPr>
          <w:rFonts w:cs="Arial"/>
          <w:iCs/>
          <w:szCs w:val="20"/>
        </w:rPr>
        <w:t>korisnika kredita</w:t>
      </w:r>
      <w:r w:rsidR="004C335A">
        <w:rPr>
          <w:rFonts w:cs="Arial"/>
          <w:iCs/>
          <w:szCs w:val="20"/>
        </w:rPr>
        <w:t xml:space="preserve"> </w:t>
      </w:r>
      <w:r w:rsidRPr="003D4B5E">
        <w:rPr>
          <w:rFonts w:cs="Arial"/>
          <w:iCs/>
          <w:szCs w:val="20"/>
        </w:rPr>
        <w:t>(korisnika potpore)</w:t>
      </w:r>
      <w:r w:rsidR="001D3DDD">
        <w:rPr>
          <w:rFonts w:cs="Arial"/>
          <w:iCs/>
          <w:szCs w:val="20"/>
        </w:rPr>
        <w:t xml:space="preserve"> u skladu s Preporukom EK</w:t>
      </w:r>
      <w:r w:rsidRPr="003D4B5E">
        <w:rPr>
          <w:rFonts w:cs="Arial"/>
          <w:iCs/>
          <w:szCs w:val="20"/>
        </w:rPr>
        <w:t>; opis projekta, uključujući datume njegova početka i dovršetka; lokaciju projekta; popis troškova projekta; iznos financiranja potrebnog za projekt.</w:t>
      </w:r>
    </w:p>
    <w:p w14:paraId="3A966237" w14:textId="5A1F733B" w:rsidR="00941A73" w:rsidRPr="00186872" w:rsidRDefault="007925C2" w:rsidP="00510075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before="24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 xml:space="preserve">Kod izravnog kreditiranja pisanim zahtjevom za potporu smatra se </w:t>
      </w:r>
      <w:r w:rsidR="0052044C" w:rsidRPr="00186872">
        <w:rPr>
          <w:rFonts w:cs="Arial"/>
          <w:b/>
          <w:iCs/>
          <w:szCs w:val="20"/>
        </w:rPr>
        <w:t>najava ulaganja</w:t>
      </w:r>
      <w:r w:rsidR="00797165" w:rsidRPr="00186872">
        <w:rPr>
          <w:rStyle w:val="FootnoteReference"/>
          <w:rFonts w:cs="Arial"/>
          <w:b/>
          <w:iCs/>
          <w:szCs w:val="20"/>
        </w:rPr>
        <w:footnoteReference w:id="9"/>
      </w:r>
      <w:r w:rsidR="00797165" w:rsidRPr="00186872">
        <w:rPr>
          <w:rFonts w:cs="Arial"/>
          <w:i/>
          <w:iCs/>
          <w:szCs w:val="20"/>
        </w:rPr>
        <w:t xml:space="preserve"> </w:t>
      </w:r>
      <w:r w:rsidR="00ED14B2" w:rsidRPr="00186872">
        <w:rPr>
          <w:rFonts w:cs="Arial"/>
          <w:szCs w:val="20"/>
        </w:rPr>
        <w:t>predan</w:t>
      </w:r>
      <w:r w:rsidR="00CD0DEE" w:rsidRPr="00186872">
        <w:rPr>
          <w:rFonts w:cs="Arial"/>
          <w:szCs w:val="20"/>
        </w:rPr>
        <w:t>a</w:t>
      </w:r>
      <w:r w:rsidR="00797165" w:rsidRPr="00186872">
        <w:rPr>
          <w:rFonts w:cs="Arial"/>
          <w:szCs w:val="20"/>
        </w:rPr>
        <w:t xml:space="preserve"> HBOR-u u razdoblju do najviše 6 (šest) mjeseci prije podnošenja zahtjeva za kredit</w:t>
      </w:r>
      <w:r w:rsidRPr="00186872">
        <w:rPr>
          <w:rFonts w:cs="Arial"/>
          <w:szCs w:val="20"/>
        </w:rPr>
        <w:t>.</w:t>
      </w:r>
    </w:p>
    <w:p w14:paraId="1F3A1C7E" w14:textId="50747553" w:rsidR="00797165" w:rsidRPr="00186872" w:rsidRDefault="00941A73" w:rsidP="006559E8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Ako</w:t>
      </w:r>
      <w:r w:rsidR="007925C2" w:rsidRPr="00186872">
        <w:rPr>
          <w:rFonts w:cs="Arial"/>
          <w:szCs w:val="20"/>
        </w:rPr>
        <w:t xml:space="preserve"> između predaje najave </w:t>
      </w:r>
      <w:r w:rsidR="0062491B" w:rsidRPr="00186872">
        <w:rPr>
          <w:rFonts w:cs="Arial"/>
          <w:szCs w:val="20"/>
        </w:rPr>
        <w:t>ulaganja</w:t>
      </w:r>
      <w:r w:rsidR="007925C2" w:rsidRPr="00186872">
        <w:rPr>
          <w:rFonts w:cs="Arial"/>
          <w:szCs w:val="20"/>
        </w:rPr>
        <w:t xml:space="preserve"> i predaje zahtjeva za kredit prođe više od 6 (šest) mjeseci ili </w:t>
      </w:r>
      <w:r w:rsidRPr="00186872">
        <w:rPr>
          <w:rFonts w:cs="Arial"/>
          <w:szCs w:val="20"/>
        </w:rPr>
        <w:t>ako</w:t>
      </w:r>
      <w:r w:rsidR="007925C2" w:rsidRPr="00186872">
        <w:rPr>
          <w:rFonts w:cs="Arial"/>
          <w:szCs w:val="20"/>
        </w:rPr>
        <w:t xml:space="preserve"> najava </w:t>
      </w:r>
      <w:r w:rsidR="0062491B" w:rsidRPr="00186872">
        <w:rPr>
          <w:rFonts w:cs="Arial"/>
          <w:szCs w:val="20"/>
        </w:rPr>
        <w:t>ulaganja</w:t>
      </w:r>
      <w:r w:rsidR="007925C2" w:rsidRPr="00186872">
        <w:rPr>
          <w:rFonts w:cs="Arial"/>
          <w:szCs w:val="20"/>
        </w:rPr>
        <w:t xml:space="preserve"> uopće nije predana, pisanim zahtjevom za potporu smatra se </w:t>
      </w:r>
      <w:r w:rsidR="00797165" w:rsidRPr="00186872">
        <w:rPr>
          <w:rFonts w:cs="Arial"/>
          <w:b/>
          <w:iCs/>
          <w:szCs w:val="20"/>
        </w:rPr>
        <w:t>zahtjev za kredit</w:t>
      </w:r>
      <w:r w:rsidR="003D4B5E">
        <w:rPr>
          <w:rFonts w:cs="Arial"/>
          <w:b/>
          <w:iCs/>
          <w:szCs w:val="20"/>
        </w:rPr>
        <w:t xml:space="preserve"> korisnika kredita</w:t>
      </w:r>
      <w:r w:rsidR="00797165" w:rsidRPr="00186872">
        <w:rPr>
          <w:rFonts w:cs="Arial"/>
          <w:i/>
          <w:iCs/>
          <w:szCs w:val="20"/>
        </w:rPr>
        <w:t xml:space="preserve"> </w:t>
      </w:r>
      <w:r w:rsidR="00797165" w:rsidRPr="00186872">
        <w:rPr>
          <w:rFonts w:cs="Arial"/>
          <w:szCs w:val="20"/>
        </w:rPr>
        <w:t xml:space="preserve">zajedno s dokumentacijom potrebnom </w:t>
      </w:r>
      <w:r w:rsidR="00F519B5" w:rsidRPr="00186872">
        <w:rPr>
          <w:rFonts w:cs="Arial"/>
          <w:szCs w:val="20"/>
        </w:rPr>
        <w:t xml:space="preserve">za </w:t>
      </w:r>
      <w:r w:rsidR="00797165" w:rsidRPr="00186872">
        <w:rPr>
          <w:rFonts w:cs="Arial"/>
          <w:szCs w:val="20"/>
        </w:rPr>
        <w:t>obradu zahtjeva.</w:t>
      </w:r>
    </w:p>
    <w:p w14:paraId="4876CF9A" w14:textId="34841A54" w:rsidR="00941A73" w:rsidRPr="00186872" w:rsidRDefault="00CD0DEE" w:rsidP="00510075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before="24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 xml:space="preserve">Kod kreditiranja u suradnji s </w:t>
      </w:r>
      <w:r w:rsidR="00F13179">
        <w:rPr>
          <w:rFonts w:cs="Arial"/>
          <w:szCs w:val="20"/>
        </w:rPr>
        <w:t>financijskim institucijama,</w:t>
      </w:r>
      <w:r w:rsidRPr="00186872">
        <w:rPr>
          <w:rFonts w:cs="Arial"/>
          <w:szCs w:val="20"/>
        </w:rPr>
        <w:t xml:space="preserve"> pisani</w:t>
      </w:r>
      <w:r w:rsidR="007925C2" w:rsidRPr="00186872">
        <w:rPr>
          <w:rFonts w:cs="Arial"/>
          <w:szCs w:val="20"/>
        </w:rPr>
        <w:t>m</w:t>
      </w:r>
      <w:r w:rsidRPr="00186872">
        <w:rPr>
          <w:rFonts w:cs="Arial"/>
          <w:szCs w:val="20"/>
        </w:rPr>
        <w:t xml:space="preserve"> zahtjev</w:t>
      </w:r>
      <w:r w:rsidR="007925C2" w:rsidRPr="00186872">
        <w:rPr>
          <w:rFonts w:cs="Arial"/>
          <w:szCs w:val="20"/>
        </w:rPr>
        <w:t>om</w:t>
      </w:r>
      <w:r w:rsidRPr="00186872">
        <w:rPr>
          <w:rFonts w:cs="Arial"/>
          <w:szCs w:val="20"/>
        </w:rPr>
        <w:t xml:space="preserve"> za potporu </w:t>
      </w:r>
      <w:r w:rsidR="007925C2" w:rsidRPr="00186872">
        <w:rPr>
          <w:rFonts w:cs="Arial"/>
          <w:szCs w:val="20"/>
        </w:rPr>
        <w:t>smatra se</w:t>
      </w:r>
      <w:r w:rsidRPr="00186872">
        <w:rPr>
          <w:rFonts w:cs="Arial"/>
          <w:szCs w:val="20"/>
        </w:rPr>
        <w:t xml:space="preserve"> </w:t>
      </w:r>
      <w:r w:rsidR="00797165" w:rsidRPr="00186872">
        <w:rPr>
          <w:rFonts w:cs="Arial"/>
          <w:b/>
          <w:iCs/>
          <w:szCs w:val="20"/>
        </w:rPr>
        <w:t xml:space="preserve">zahtjev za </w:t>
      </w:r>
      <w:r w:rsidR="00F13179">
        <w:rPr>
          <w:rFonts w:cs="Arial"/>
          <w:b/>
          <w:iCs/>
          <w:szCs w:val="20"/>
        </w:rPr>
        <w:t>plasman</w:t>
      </w:r>
      <w:r w:rsidR="00F13179" w:rsidRPr="00186872">
        <w:rPr>
          <w:rFonts w:cs="Arial"/>
          <w:b/>
          <w:i/>
          <w:iCs/>
          <w:szCs w:val="20"/>
        </w:rPr>
        <w:t xml:space="preserve"> </w:t>
      </w:r>
      <w:r w:rsidR="00F13179">
        <w:rPr>
          <w:rFonts w:cs="Arial"/>
          <w:b/>
          <w:iCs/>
          <w:szCs w:val="20"/>
        </w:rPr>
        <w:t>krajnjeg korisnika</w:t>
      </w:r>
      <w:r w:rsidR="00F13179" w:rsidRPr="00186872">
        <w:rPr>
          <w:rFonts w:cs="Arial"/>
          <w:iCs/>
          <w:szCs w:val="20"/>
        </w:rPr>
        <w:t xml:space="preserve"> </w:t>
      </w:r>
      <w:r w:rsidR="00ED14B2" w:rsidRPr="00186872">
        <w:rPr>
          <w:rFonts w:cs="Arial"/>
          <w:szCs w:val="20"/>
        </w:rPr>
        <w:t xml:space="preserve">s dokumentacijom potrebnom za obradu </w:t>
      </w:r>
      <w:r w:rsidR="00F13179">
        <w:rPr>
          <w:rFonts w:cs="Arial"/>
          <w:szCs w:val="20"/>
        </w:rPr>
        <w:t>zahtjeva</w:t>
      </w:r>
      <w:r w:rsidR="00F13179" w:rsidRPr="00186872">
        <w:rPr>
          <w:rFonts w:cs="Arial"/>
          <w:szCs w:val="20"/>
        </w:rPr>
        <w:t xml:space="preserve"> </w:t>
      </w:r>
      <w:r w:rsidR="00F13179">
        <w:rPr>
          <w:rFonts w:cs="Arial"/>
          <w:szCs w:val="20"/>
        </w:rPr>
        <w:t>u skladu s</w:t>
      </w:r>
      <w:r w:rsidR="00F13179" w:rsidRPr="00186872">
        <w:rPr>
          <w:rFonts w:cs="Arial"/>
          <w:szCs w:val="20"/>
        </w:rPr>
        <w:t xml:space="preserve"> </w:t>
      </w:r>
      <w:r w:rsidR="00ED14B2" w:rsidRPr="00186872">
        <w:rPr>
          <w:rFonts w:cs="Arial"/>
          <w:szCs w:val="20"/>
        </w:rPr>
        <w:t xml:space="preserve">pravilima </w:t>
      </w:r>
      <w:r w:rsidR="00F13179">
        <w:rPr>
          <w:rFonts w:cs="Arial"/>
          <w:szCs w:val="20"/>
        </w:rPr>
        <w:t>financijske institucije (i uvažavajući minimalni sadržaj pisanog zahtjeva za potporu)</w:t>
      </w:r>
      <w:r w:rsidR="00ED14B2" w:rsidRPr="00186872">
        <w:rPr>
          <w:rFonts w:cs="Arial"/>
          <w:szCs w:val="20"/>
        </w:rPr>
        <w:t>, predan</w:t>
      </w:r>
      <w:r w:rsidRPr="00186872">
        <w:rPr>
          <w:rFonts w:cs="Arial"/>
          <w:szCs w:val="20"/>
        </w:rPr>
        <w:t xml:space="preserve"> </w:t>
      </w:r>
      <w:r w:rsidR="00F13179">
        <w:rPr>
          <w:rFonts w:cs="Arial"/>
          <w:szCs w:val="20"/>
        </w:rPr>
        <w:t>financijskoj instituciji</w:t>
      </w:r>
      <w:r w:rsidR="00ED14B2" w:rsidRPr="00186872">
        <w:rPr>
          <w:rFonts w:cs="Arial"/>
          <w:szCs w:val="20"/>
        </w:rPr>
        <w:t xml:space="preserve"> u </w:t>
      </w:r>
      <w:r w:rsidR="00797165" w:rsidRPr="00186872">
        <w:rPr>
          <w:rFonts w:cs="Arial"/>
          <w:szCs w:val="20"/>
        </w:rPr>
        <w:t xml:space="preserve">razdoblju do najviše 6 (šest) mjeseci prije nego </w:t>
      </w:r>
      <w:r w:rsidR="00F13179">
        <w:rPr>
          <w:rFonts w:cs="Arial"/>
          <w:szCs w:val="20"/>
        </w:rPr>
        <w:t>financijska institucija</w:t>
      </w:r>
      <w:r w:rsidR="00F13179" w:rsidRPr="00186872">
        <w:rPr>
          <w:rFonts w:cs="Arial"/>
          <w:szCs w:val="20"/>
        </w:rPr>
        <w:t xml:space="preserve"> </w:t>
      </w:r>
      <w:r w:rsidR="00ED14B2" w:rsidRPr="00186872">
        <w:rPr>
          <w:rFonts w:cs="Arial"/>
          <w:szCs w:val="20"/>
        </w:rPr>
        <w:t>preda</w:t>
      </w:r>
      <w:r w:rsidR="00797165" w:rsidRPr="00186872">
        <w:rPr>
          <w:rFonts w:cs="Arial"/>
          <w:szCs w:val="20"/>
        </w:rPr>
        <w:t xml:space="preserve"> zahtjev za </w:t>
      </w:r>
      <w:r w:rsidR="00F13179">
        <w:rPr>
          <w:rFonts w:cs="Arial"/>
          <w:szCs w:val="20"/>
        </w:rPr>
        <w:t>konkretnog krajnjeg korisnika</w:t>
      </w:r>
      <w:r w:rsidR="00F13179" w:rsidRPr="00186872">
        <w:rPr>
          <w:rFonts w:cs="Arial"/>
          <w:szCs w:val="20"/>
        </w:rPr>
        <w:t xml:space="preserve"> </w:t>
      </w:r>
      <w:r w:rsidR="00797165" w:rsidRPr="00186872">
        <w:rPr>
          <w:rFonts w:cs="Arial"/>
          <w:szCs w:val="20"/>
        </w:rPr>
        <w:t>HBOR-u</w:t>
      </w:r>
      <w:r w:rsidRPr="00186872">
        <w:rPr>
          <w:rFonts w:cs="Arial"/>
          <w:szCs w:val="20"/>
        </w:rPr>
        <w:t>.</w:t>
      </w:r>
    </w:p>
    <w:p w14:paraId="020B5FE8" w14:textId="7F5B133F" w:rsidR="001D7FCF" w:rsidRDefault="00941A73" w:rsidP="006559E8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Ako</w:t>
      </w:r>
      <w:r w:rsidR="007925C2" w:rsidRPr="00186872">
        <w:rPr>
          <w:rFonts w:cs="Arial"/>
          <w:szCs w:val="20"/>
        </w:rPr>
        <w:t xml:space="preserve"> </w:t>
      </w:r>
      <w:r w:rsidR="00CD0DEE" w:rsidRPr="00186872">
        <w:rPr>
          <w:rFonts w:cs="Arial"/>
          <w:szCs w:val="20"/>
        </w:rPr>
        <w:t xml:space="preserve">između predaje zahtjeva za </w:t>
      </w:r>
      <w:r w:rsidR="00F13179">
        <w:rPr>
          <w:rFonts w:cs="Arial"/>
          <w:szCs w:val="20"/>
        </w:rPr>
        <w:t>plasman krajnjeg korisnika</w:t>
      </w:r>
      <w:r w:rsidR="00CD0DEE" w:rsidRPr="00186872">
        <w:rPr>
          <w:rFonts w:cs="Arial"/>
          <w:szCs w:val="20"/>
        </w:rPr>
        <w:t xml:space="preserve"> i predaje zahtjeva </w:t>
      </w:r>
      <w:r w:rsidR="00F13179">
        <w:rPr>
          <w:rFonts w:cs="Arial"/>
          <w:szCs w:val="20"/>
        </w:rPr>
        <w:t xml:space="preserve">financijske institucije </w:t>
      </w:r>
      <w:r w:rsidR="007925C2" w:rsidRPr="00186872">
        <w:rPr>
          <w:rFonts w:cs="Arial"/>
          <w:szCs w:val="20"/>
        </w:rPr>
        <w:t xml:space="preserve">za </w:t>
      </w:r>
      <w:r w:rsidR="00F13179">
        <w:rPr>
          <w:rFonts w:cs="Arial"/>
          <w:szCs w:val="20"/>
        </w:rPr>
        <w:t>konkretnog krajnjeg korisnika</w:t>
      </w:r>
      <w:r w:rsidR="007925C2" w:rsidRPr="00186872">
        <w:rPr>
          <w:rFonts w:cs="Arial"/>
          <w:szCs w:val="20"/>
        </w:rPr>
        <w:t xml:space="preserve"> </w:t>
      </w:r>
      <w:r w:rsidR="00CD0DEE" w:rsidRPr="00186872">
        <w:rPr>
          <w:rFonts w:cs="Arial"/>
          <w:szCs w:val="20"/>
        </w:rPr>
        <w:t xml:space="preserve">HBOR-u </w:t>
      </w:r>
      <w:r w:rsidRPr="00186872">
        <w:rPr>
          <w:rFonts w:cs="Arial"/>
          <w:szCs w:val="20"/>
        </w:rPr>
        <w:t xml:space="preserve">prođe </w:t>
      </w:r>
      <w:r w:rsidR="00CD0DEE" w:rsidRPr="00186872">
        <w:rPr>
          <w:rFonts w:cs="Arial"/>
          <w:szCs w:val="20"/>
        </w:rPr>
        <w:t xml:space="preserve">više od 6 </w:t>
      </w:r>
      <w:r w:rsidR="007925C2" w:rsidRPr="00186872">
        <w:rPr>
          <w:rFonts w:cs="Arial"/>
          <w:szCs w:val="20"/>
        </w:rPr>
        <w:t xml:space="preserve">(šest) </w:t>
      </w:r>
      <w:r w:rsidR="00CD0DEE" w:rsidRPr="00186872">
        <w:rPr>
          <w:rFonts w:cs="Arial"/>
          <w:szCs w:val="20"/>
        </w:rPr>
        <w:t>mjeseci</w:t>
      </w:r>
      <w:r w:rsidR="007925C2" w:rsidRPr="00186872">
        <w:rPr>
          <w:rFonts w:cs="Arial"/>
          <w:szCs w:val="20"/>
        </w:rPr>
        <w:t xml:space="preserve">, pisanim zahtjevom za potporu smatra se </w:t>
      </w:r>
      <w:r w:rsidR="00797165" w:rsidRPr="00186872">
        <w:rPr>
          <w:rFonts w:cs="Arial"/>
          <w:b/>
          <w:iCs/>
          <w:szCs w:val="20"/>
        </w:rPr>
        <w:t xml:space="preserve">zahtjev </w:t>
      </w:r>
      <w:r w:rsidR="00F13179">
        <w:rPr>
          <w:rFonts w:cs="Arial"/>
          <w:b/>
          <w:iCs/>
          <w:szCs w:val="20"/>
        </w:rPr>
        <w:t>financijske institucije za konkretnog krajnjeg korisnika</w:t>
      </w:r>
      <w:r w:rsidR="007925C2" w:rsidRPr="00186872">
        <w:rPr>
          <w:rFonts w:cs="Arial"/>
          <w:szCs w:val="20"/>
        </w:rPr>
        <w:t>.</w:t>
      </w:r>
    </w:p>
    <w:p w14:paraId="3B3DE411" w14:textId="3325A49D" w:rsidR="00F0675B" w:rsidRPr="00BF42EE" w:rsidRDefault="007920C1" w:rsidP="001A4F54">
      <w:pPr>
        <w:pStyle w:val="HeadingA"/>
        <w:numPr>
          <w:ilvl w:val="1"/>
          <w:numId w:val="4"/>
        </w:numPr>
        <w:spacing w:after="240" w:line="276" w:lineRule="auto"/>
        <w:ind w:left="851" w:hanging="567"/>
        <w:outlineLvl w:val="1"/>
        <w:rPr>
          <w:rFonts w:ascii="Arial" w:hAnsi="Arial" w:cs="Arial"/>
          <w:sz w:val="20"/>
          <w:szCs w:val="20"/>
        </w:rPr>
      </w:pPr>
      <w:bookmarkStart w:id="79" w:name="_Toc534881550"/>
      <w:bookmarkStart w:id="80" w:name="_Toc135126334"/>
      <w:r w:rsidRPr="00BF42EE">
        <w:rPr>
          <w:rFonts w:ascii="Arial" w:hAnsi="Arial" w:cs="Arial"/>
          <w:sz w:val="20"/>
          <w:szCs w:val="20"/>
        </w:rPr>
        <w:t>Posebni programi u smislu primjene pravila o potporama</w:t>
      </w:r>
      <w:bookmarkEnd w:id="79"/>
      <w:bookmarkEnd w:id="80"/>
    </w:p>
    <w:p w14:paraId="077976DD" w14:textId="77777777" w:rsidR="00F0675B" w:rsidRPr="00186872" w:rsidRDefault="00F0675B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81" w:name="_Toc534881551"/>
      <w:bookmarkStart w:id="82" w:name="_Toc135126335"/>
      <w:bookmarkStart w:id="83" w:name="_Hlk72075527"/>
      <w:r w:rsidRPr="00186872">
        <w:rPr>
          <w:rFonts w:ascii="Arial" w:hAnsi="Arial" w:cs="Arial"/>
          <w:color w:val="auto"/>
          <w:sz w:val="20"/>
          <w:szCs w:val="20"/>
        </w:rPr>
        <w:t>EU projekti</w:t>
      </w:r>
      <w:bookmarkEnd w:id="81"/>
      <w:bookmarkEnd w:id="82"/>
    </w:p>
    <w:bookmarkEnd w:id="83"/>
    <w:p w14:paraId="05C30A7F" w14:textId="6D1437E2" w:rsidR="00F13179" w:rsidRPr="00F13179" w:rsidRDefault="00F13179" w:rsidP="00DD038E">
      <w:pPr>
        <w:tabs>
          <w:tab w:val="center" w:pos="4703"/>
          <w:tab w:val="right" w:pos="9406"/>
        </w:tabs>
        <w:spacing w:line="276" w:lineRule="auto"/>
        <w:jc w:val="both"/>
        <w:rPr>
          <w:rFonts w:cs="Arial"/>
          <w:szCs w:val="20"/>
        </w:rPr>
      </w:pPr>
      <w:r w:rsidRPr="00F13179">
        <w:rPr>
          <w:rFonts w:cs="Arial"/>
          <w:szCs w:val="20"/>
        </w:rPr>
        <w:t>Kredite za financiranje projekata koji se kandidiraju za sufinanciranje sredstvima proračuna Europske unije odnosno sredstvima EU fondova i/ili nacionalnih izvora te drugih inozemnih javnih izvora (dalje u tekstu: bespovratna sredstva) prema pozivu za dostavu projektnih prijedloga (dalje u tekstu: natječaj) HBOR u pravilu odobrava uz opću kamatnu stopu (kamatna stopa uz koju se ne dodjeljuje potpora), budući da je dodjelom bespovratnih sredstava korisniku kredita (korisniku potpore) u pravilu dodijeljen maksimalno dopušteni intenzitet potpora.</w:t>
      </w:r>
    </w:p>
    <w:p w14:paraId="26765346" w14:textId="77777777" w:rsidR="00F13179" w:rsidRPr="00F13179" w:rsidRDefault="00F13179" w:rsidP="00F13179">
      <w:pPr>
        <w:tabs>
          <w:tab w:val="center" w:pos="4703"/>
          <w:tab w:val="right" w:pos="9406"/>
        </w:tabs>
        <w:spacing w:before="120" w:line="276" w:lineRule="auto"/>
        <w:jc w:val="both"/>
        <w:rPr>
          <w:rFonts w:cs="Arial"/>
          <w:szCs w:val="20"/>
        </w:rPr>
      </w:pPr>
      <w:r w:rsidRPr="00F13179">
        <w:rPr>
          <w:rFonts w:cs="Arial"/>
          <w:szCs w:val="20"/>
        </w:rPr>
        <w:t>Iznimno od navedenog, HBOR može takav kredit odobriti uz poticajnu kamatnu stopu (kamatna stopa u koju se dodjeljuje potpora) ili uz neki drugi oblik potpore (npr. subvenciju naknade i sl.), ako dodjelom bespovratnih sredstava na temelju natječaja korisniku potpore nije dodijeljen maksimalno dopušteni intenzitet potpora, te ako natječajem nije zabranjeno zbrajanje odnosno kombiniranje potpore koja se dodjeljuje na temelju natječaja s potporama iz drugih izvora u vezi s istim opravdanim (prihvatljivim) troškovima.</w:t>
      </w:r>
    </w:p>
    <w:p w14:paraId="5DCBC009" w14:textId="0E3F4ECC" w:rsidR="00F0675B" w:rsidRPr="00186872" w:rsidRDefault="00F0675B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84" w:name="_Toc534881552"/>
      <w:bookmarkStart w:id="85" w:name="_Toc135126336"/>
      <w:r w:rsidRPr="00186872">
        <w:rPr>
          <w:rFonts w:ascii="Arial" w:hAnsi="Arial" w:cs="Arial"/>
          <w:color w:val="auto"/>
          <w:sz w:val="20"/>
          <w:szCs w:val="20"/>
        </w:rPr>
        <w:t>Investicije javnog sektora</w:t>
      </w:r>
      <w:bookmarkEnd w:id="84"/>
      <w:bookmarkEnd w:id="85"/>
    </w:p>
    <w:p w14:paraId="5E541605" w14:textId="4DD21E70" w:rsidR="00F0675B" w:rsidRPr="00186872" w:rsidRDefault="00F0675B" w:rsidP="00F0675B">
      <w:pPr>
        <w:pStyle w:val="Header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Kod financiranja infrastrukture koja nije namijenjena komercijalnom iskorištavanju u načelu se ne primjenjuju pravila o državnim potporama, odnosno dopušteno je odobriti kredit uz poticajnu kamatnu stopu, neovisno o tome jesu li zadovoljeni uvjeti iz relevantnih propisa o državnim potporama. To se, na primjer, odnosi na općenit</w:t>
      </w:r>
      <w:r w:rsidR="009F2282" w:rsidRPr="00186872">
        <w:rPr>
          <w:rFonts w:cs="Arial"/>
          <w:szCs w:val="20"/>
        </w:rPr>
        <w:t>u</w:t>
      </w:r>
      <w:r w:rsidRPr="00186872">
        <w:rPr>
          <w:rFonts w:cs="Arial"/>
          <w:szCs w:val="20"/>
        </w:rPr>
        <w:t xml:space="preserve"> infrastruktur</w:t>
      </w:r>
      <w:r w:rsidR="009F2282" w:rsidRPr="00186872">
        <w:rPr>
          <w:rFonts w:cs="Arial"/>
          <w:szCs w:val="20"/>
        </w:rPr>
        <w:t>u</w:t>
      </w:r>
      <w:r w:rsidRPr="00186872">
        <w:rPr>
          <w:rFonts w:cs="Arial"/>
          <w:szCs w:val="20"/>
        </w:rPr>
        <w:t xml:space="preserve"> kao što su javne ceste, mostovi ili kanali, koji se daju na raspolaganje javnosti bez primitka nadoknade, kao i na infrastrukturu koja je namijenjena za djelatnosti koje država obično obavlja u izvršavanju javnih ovlasti.</w:t>
      </w:r>
    </w:p>
    <w:p w14:paraId="0F0AE8DC" w14:textId="14E35BC8" w:rsidR="00F0675B" w:rsidRPr="00186872" w:rsidRDefault="00F0675B" w:rsidP="00510075">
      <w:pPr>
        <w:pStyle w:val="Header"/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Kod korisnika kredita koji se mogu svrstati u poduzetnike u smislu propisa o državnim potporama</w:t>
      </w:r>
      <w:r w:rsidRPr="00186872">
        <w:rPr>
          <w:rStyle w:val="FootnoteReference"/>
          <w:rFonts w:cs="Arial"/>
          <w:b/>
          <w:szCs w:val="20"/>
        </w:rPr>
        <w:footnoteReference w:id="10"/>
      </w:r>
      <w:r w:rsidRPr="00186872">
        <w:rPr>
          <w:rFonts w:cs="Arial"/>
          <w:szCs w:val="20"/>
        </w:rPr>
        <w:t xml:space="preserve">, kredit se može odobriti uz poticajnu kamatnu stopu, odnosno u režimu državne potpore i/ili potpore male vrijednosti, ovisno o namjeni infrastrukture/projekta koji se financira, odnosno je li i u kojoj mjeri projekt </w:t>
      </w:r>
      <w:r w:rsidRPr="00186872">
        <w:rPr>
          <w:rFonts w:cs="Arial"/>
          <w:szCs w:val="20"/>
        </w:rPr>
        <w:lastRenderedPageBreak/>
        <w:t>namijenjen gospodarskom iskorištavanju ili ne, a što je potrebno procijeniti s obzirom na sve okolnosti pojedinog ulaganja.</w:t>
      </w:r>
    </w:p>
    <w:p w14:paraId="5600B670" w14:textId="55178840" w:rsidR="008E0D8C" w:rsidRPr="00186872" w:rsidRDefault="008E0D8C" w:rsidP="00510075">
      <w:pPr>
        <w:tabs>
          <w:tab w:val="center" w:pos="4536"/>
          <w:tab w:val="right" w:pos="9072"/>
        </w:tabs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Ako se radi o ulaganju čija je namjena gospodarska aktivnost (poduzetnik u smislu propisa o potporama), a korisnik kredita ne zadovoljava uvjete za dodjelu državne potpore i/ili potpore male vrijednosti, kredit se može odobriti uz opću kamatnu stopu.</w:t>
      </w:r>
    </w:p>
    <w:p w14:paraId="2245C63B" w14:textId="37D65154" w:rsidR="00F0675B" w:rsidRPr="00186872" w:rsidRDefault="00F0675B" w:rsidP="00655642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  <w:sz w:val="20"/>
          <w:szCs w:val="20"/>
        </w:rPr>
      </w:pPr>
      <w:bookmarkStart w:id="86" w:name="_Toc534881553"/>
      <w:bookmarkStart w:id="87" w:name="_Toc135126337"/>
      <w:r w:rsidRPr="00186872">
        <w:rPr>
          <w:rFonts w:ascii="Arial" w:hAnsi="Arial" w:cs="Arial"/>
          <w:color w:val="auto"/>
          <w:sz w:val="20"/>
          <w:szCs w:val="20"/>
        </w:rPr>
        <w:t>Financijsk</w:t>
      </w:r>
      <w:r w:rsidR="00C17761" w:rsidRPr="00186872">
        <w:rPr>
          <w:rFonts w:ascii="Arial" w:hAnsi="Arial" w:cs="Arial"/>
          <w:color w:val="auto"/>
          <w:sz w:val="20"/>
          <w:szCs w:val="20"/>
        </w:rPr>
        <w:t>o restrukturiranje</w:t>
      </w:r>
      <w:bookmarkEnd w:id="86"/>
      <w:bookmarkEnd w:id="87"/>
    </w:p>
    <w:p w14:paraId="6F3D61E6" w14:textId="20E1A879" w:rsidR="009B5282" w:rsidRPr="00186872" w:rsidRDefault="009B5282" w:rsidP="009B5282">
      <w:pPr>
        <w:pStyle w:val="Header"/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Financiranje uz poticajnu kamatnu stopu moguće je isključivo sukladno kriterijima iz Smjernica o državnim potporama za sanaciju i restrukturiranje nefinancijskih poduzetnika u teškoćama (SL C 249, 31.7.2014.) te uredbama o potporama male vrijednosti.</w:t>
      </w:r>
    </w:p>
    <w:p w14:paraId="263D7AF5" w14:textId="7463D1E8" w:rsidR="00F0675B" w:rsidRPr="00186872" w:rsidRDefault="00F0675B" w:rsidP="00510075">
      <w:pPr>
        <w:pStyle w:val="Header"/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Kreditiranje dr</w:t>
      </w:r>
      <w:r w:rsidR="009B5282" w:rsidRPr="00186872">
        <w:rPr>
          <w:rFonts w:cs="Arial"/>
          <w:szCs w:val="20"/>
        </w:rPr>
        <w:t xml:space="preserve">uštava u teškoćama u smislu točke </w:t>
      </w:r>
      <w:r w:rsidRPr="00186872">
        <w:rPr>
          <w:rFonts w:cs="Arial"/>
          <w:szCs w:val="20"/>
        </w:rPr>
        <w:t xml:space="preserve">20. navedenih Smjernica, </w:t>
      </w:r>
      <w:r w:rsidR="009B5282" w:rsidRPr="00186872">
        <w:rPr>
          <w:rFonts w:cs="Arial"/>
          <w:szCs w:val="20"/>
        </w:rPr>
        <w:t>provodi se</w:t>
      </w:r>
      <w:r w:rsidRPr="00186872">
        <w:rPr>
          <w:rFonts w:cs="Arial"/>
          <w:szCs w:val="20"/>
        </w:rPr>
        <w:t xml:space="preserve"> isključivo sukladno odredbama Zakona o državnim potporama (NN 47/14, 69/17) i njegovim naknadnim izmjenama i dopunama, odnosno uz obveznu prethodnu prijavu potpore za sanaciju i/ili potpore za restrukturiranje na ocjenu Europskoj komisiji/Ministarstvu financija te poštivanje svih kriterija iz navedenih Smjernica.</w:t>
      </w:r>
    </w:p>
    <w:p w14:paraId="2A6E3715" w14:textId="4B051CFC" w:rsidR="009B5282" w:rsidRPr="00186872" w:rsidRDefault="009B5282" w:rsidP="00510075">
      <w:pPr>
        <w:pStyle w:val="Header"/>
        <w:spacing w:before="120"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Ako se radi o izravnom kreditiranju korisnika kredita osiguranih jamstvom RH ili garancijom HBOR-u prihvatljive poslovne banke, u pravilu u visini od najmanje 80% od iznosa neotplaćene glavnice, kamata i ostalih troškova kredita, HBOR može kreditirati poslovne subjekte i kada se nalaze u teškoćama, odnosno ispunjavaju jedan od kriterija navedenih u toč.20. Smjernica o državnim potporama za sanaciju i restrukturiranje nefinancijskih poduzetnika u teškoćama (SL C 249, 31.7.2014</w:t>
      </w:r>
      <w:r w:rsidR="00F13179">
        <w:rPr>
          <w:rFonts w:cs="Arial"/>
          <w:szCs w:val="20"/>
        </w:rPr>
        <w:t>.</w:t>
      </w:r>
      <w:r w:rsidRPr="00186872">
        <w:rPr>
          <w:rFonts w:cs="Arial"/>
          <w:szCs w:val="20"/>
        </w:rPr>
        <w:t>)</w:t>
      </w:r>
    </w:p>
    <w:p w14:paraId="6143E556" w14:textId="4B928345" w:rsidR="00E82ACE" w:rsidRPr="00693B3E" w:rsidRDefault="00000000" w:rsidP="009B5282">
      <w:pPr>
        <w:pStyle w:val="Header"/>
        <w:spacing w:line="276" w:lineRule="auto"/>
        <w:jc w:val="both"/>
        <w:rPr>
          <w:rStyle w:val="Hyperlink"/>
          <w:rFonts w:cs="Arial"/>
          <w:color w:val="2F5496" w:themeColor="accent1" w:themeShade="BF"/>
          <w:szCs w:val="20"/>
        </w:rPr>
      </w:pPr>
      <w:hyperlink r:id="rId14" w:history="1">
        <w:r w:rsidR="009B5282" w:rsidRPr="00693B3E">
          <w:rPr>
            <w:rStyle w:val="Hyperlink"/>
            <w:rFonts w:cs="Arial"/>
            <w:color w:val="2F5496" w:themeColor="accent1" w:themeShade="BF"/>
            <w:szCs w:val="20"/>
          </w:rPr>
          <w:t>https://eur-lex.europa.eu/legal-content/HR/TXT/PDF/?uri=OJ:C:2014:249:FULL&amp;from=HR</w:t>
        </w:r>
      </w:hyperlink>
    </w:p>
    <w:p w14:paraId="390AAC89" w14:textId="7F82A304" w:rsidR="005957A2" w:rsidRPr="00BF42EE" w:rsidRDefault="005957A2" w:rsidP="001A4F54">
      <w:pPr>
        <w:pStyle w:val="HeadingA"/>
        <w:numPr>
          <w:ilvl w:val="1"/>
          <w:numId w:val="4"/>
        </w:numPr>
        <w:spacing w:after="240" w:line="276" w:lineRule="auto"/>
        <w:ind w:left="851" w:hanging="567"/>
        <w:outlineLvl w:val="1"/>
        <w:rPr>
          <w:rFonts w:ascii="Arial" w:hAnsi="Arial" w:cs="Arial"/>
          <w:sz w:val="20"/>
          <w:szCs w:val="20"/>
        </w:rPr>
      </w:pPr>
      <w:bookmarkStart w:id="88" w:name="_Hlk530475050"/>
      <w:bookmarkStart w:id="89" w:name="_Toc534881554"/>
      <w:bookmarkStart w:id="90" w:name="_Toc135126338"/>
      <w:bookmarkStart w:id="91" w:name="_Hlk93568791"/>
      <w:r w:rsidRPr="00BF42EE">
        <w:rPr>
          <w:rFonts w:ascii="Arial" w:hAnsi="Arial" w:cs="Arial"/>
          <w:sz w:val="20"/>
          <w:szCs w:val="20"/>
        </w:rPr>
        <w:t>Izuzeća</w:t>
      </w:r>
      <w:bookmarkEnd w:id="88"/>
      <w:bookmarkEnd w:id="89"/>
      <w:r w:rsidR="001350D1" w:rsidRPr="00BF42EE">
        <w:rPr>
          <w:rFonts w:ascii="Arial" w:hAnsi="Arial" w:cs="Arial"/>
          <w:sz w:val="20"/>
          <w:szCs w:val="20"/>
        </w:rPr>
        <w:t xml:space="preserve"> od financiranja uz poticajnu kamatnu stopu</w:t>
      </w:r>
      <w:bookmarkEnd w:id="90"/>
    </w:p>
    <w:bookmarkEnd w:id="91"/>
    <w:p w14:paraId="678EEC49" w14:textId="77777777" w:rsidR="005957A2" w:rsidRPr="00186872" w:rsidRDefault="005957A2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line="276" w:lineRule="auto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Financiranje uz poticajnu kamatnu stopu nije moguće:</w:t>
      </w:r>
    </w:p>
    <w:p w14:paraId="710B88AE" w14:textId="7DE51F76" w:rsidR="005957A2" w:rsidRPr="00186872" w:rsidRDefault="005957A2" w:rsidP="001A4F54">
      <w:pPr>
        <w:pStyle w:val="Header"/>
        <w:numPr>
          <w:ilvl w:val="0"/>
          <w:numId w:val="11"/>
        </w:numPr>
        <w:tabs>
          <w:tab w:val="clear" w:pos="4536"/>
          <w:tab w:val="clear" w:pos="9072"/>
          <w:tab w:val="center" w:pos="4703"/>
          <w:tab w:val="right" w:pos="9406"/>
        </w:tabs>
        <w:spacing w:before="120" w:line="276" w:lineRule="auto"/>
        <w:ind w:left="714" w:hanging="357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kod programa za financiranje izvoza (Priprema izvoza, Kredit kupcu, Kredit dobavljaču) budući da propisi o državnim potporama izričito isključuju mogućnost dodjele potpore za djelatnosti usmjerene izvozu u treće zemlje ili države članice, odnosno potpore koje su izravno povezane s izvezenim količinama, s uspostavom i funkcioniranjem distribucijske mreže ili s drugim tekućim troškovima povezanima s izvoznom djelatnošću;</w:t>
      </w:r>
    </w:p>
    <w:p w14:paraId="62876515" w14:textId="20610ADF" w:rsidR="005C1C15" w:rsidRDefault="005957A2" w:rsidP="00214BD8">
      <w:pPr>
        <w:pStyle w:val="Header"/>
        <w:numPr>
          <w:ilvl w:val="0"/>
          <w:numId w:val="11"/>
        </w:numPr>
        <w:tabs>
          <w:tab w:val="clear" w:pos="4536"/>
          <w:tab w:val="clear" w:pos="9072"/>
          <w:tab w:val="center" w:pos="4703"/>
          <w:tab w:val="right" w:pos="9406"/>
        </w:tabs>
        <w:spacing w:before="120" w:line="276" w:lineRule="auto"/>
        <w:ind w:left="714" w:hanging="357"/>
        <w:jc w:val="both"/>
        <w:rPr>
          <w:rFonts w:cs="Arial"/>
          <w:szCs w:val="20"/>
        </w:rPr>
      </w:pPr>
      <w:r w:rsidRPr="00186872">
        <w:rPr>
          <w:rFonts w:cs="Arial"/>
          <w:szCs w:val="20"/>
        </w:rPr>
        <w:t>u sektoru ribarstva i akvakulture, uključujući djelatnosti proizvodnje, prerade i stavljanja na tržište proizvoda ribarstva i akvakulture.</w:t>
      </w:r>
    </w:p>
    <w:p w14:paraId="6B68E8DC" w14:textId="0F8FC206" w:rsidR="00E37927" w:rsidRPr="00E27923" w:rsidRDefault="00390C5F" w:rsidP="001A4F54">
      <w:pPr>
        <w:pStyle w:val="HeadingA"/>
        <w:numPr>
          <w:ilvl w:val="0"/>
          <w:numId w:val="4"/>
        </w:numPr>
        <w:spacing w:after="240" w:line="276" w:lineRule="auto"/>
        <w:ind w:left="357" w:hanging="357"/>
        <w:outlineLvl w:val="0"/>
        <w:rPr>
          <w:rFonts w:ascii="Arial" w:hAnsi="Arial" w:cs="Arial"/>
          <w:sz w:val="24"/>
          <w:szCs w:val="24"/>
        </w:rPr>
      </w:pPr>
      <w:bookmarkStart w:id="92" w:name="_Toc135126339"/>
      <w:r w:rsidRPr="00E27923">
        <w:rPr>
          <w:rFonts w:ascii="Arial" w:hAnsi="Arial" w:cs="Arial"/>
          <w:sz w:val="24"/>
          <w:szCs w:val="24"/>
        </w:rPr>
        <w:t>O</w:t>
      </w:r>
      <w:r w:rsidR="00313D89" w:rsidRPr="00E27923">
        <w:rPr>
          <w:rFonts w:ascii="Arial" w:hAnsi="Arial" w:cs="Arial"/>
          <w:sz w:val="24"/>
          <w:szCs w:val="24"/>
        </w:rPr>
        <w:t>stalo</w:t>
      </w:r>
      <w:bookmarkEnd w:id="92"/>
    </w:p>
    <w:p w14:paraId="1BBD80AB" w14:textId="4719A53B" w:rsidR="00FA6E4D" w:rsidRPr="00186872" w:rsidRDefault="00711102" w:rsidP="002355BE">
      <w:pPr>
        <w:spacing w:line="276" w:lineRule="auto"/>
        <w:jc w:val="both"/>
        <w:rPr>
          <w:rFonts w:cs="Arial"/>
          <w:szCs w:val="20"/>
        </w:rPr>
      </w:pPr>
      <w:bookmarkStart w:id="93" w:name="_Hlk93568423"/>
      <w:r w:rsidRPr="00186872">
        <w:rPr>
          <w:rFonts w:cs="Arial"/>
          <w:szCs w:val="20"/>
        </w:rPr>
        <w:t>Pravo na kredit ne postoji, već HBOR o svakom zahtjevu donosi posebnu odluku.</w:t>
      </w:r>
    </w:p>
    <w:p w14:paraId="3DE49814" w14:textId="77777777" w:rsidR="00FA6E4D" w:rsidRPr="00186872" w:rsidRDefault="00FA6E4D">
      <w:pPr>
        <w:rPr>
          <w:rFonts w:cs="Arial"/>
          <w:szCs w:val="20"/>
        </w:rPr>
      </w:pPr>
      <w:r w:rsidRPr="00186872">
        <w:rPr>
          <w:rFonts w:cs="Arial"/>
          <w:szCs w:val="20"/>
        </w:rPr>
        <w:br w:type="page"/>
      </w:r>
    </w:p>
    <w:p w14:paraId="3D23CFFE" w14:textId="2BDE1869" w:rsidR="00307038" w:rsidRPr="0094020A" w:rsidRDefault="00FA6E4D" w:rsidP="0099257F">
      <w:pPr>
        <w:pStyle w:val="HeadingA"/>
        <w:numPr>
          <w:ilvl w:val="0"/>
          <w:numId w:val="0"/>
        </w:numPr>
        <w:spacing w:before="240" w:after="0" w:line="276" w:lineRule="auto"/>
        <w:outlineLvl w:val="2"/>
        <w:rPr>
          <w:rFonts w:ascii="Arial" w:hAnsi="Arial" w:cs="Arial"/>
          <w:color w:val="auto"/>
        </w:rPr>
      </w:pPr>
      <w:bookmarkStart w:id="94" w:name="_Toc135126340"/>
      <w:bookmarkEnd w:id="93"/>
      <w:r w:rsidRPr="0094020A">
        <w:rPr>
          <w:rFonts w:ascii="Arial" w:hAnsi="Arial" w:cs="Arial"/>
          <w:color w:val="auto"/>
        </w:rPr>
        <w:lastRenderedPageBreak/>
        <w:t xml:space="preserve">Prilog 1. - </w:t>
      </w:r>
      <w:r w:rsidR="00390C5F" w:rsidRPr="0094020A">
        <w:rPr>
          <w:rFonts w:ascii="Arial" w:hAnsi="Arial" w:cs="Arial"/>
          <w:color w:val="auto"/>
        </w:rPr>
        <w:t>Neprihvatljive aktivnosti</w:t>
      </w:r>
      <w:bookmarkEnd w:id="94"/>
    </w:p>
    <w:p w14:paraId="0A75433B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aktivnosti kojima se ograničavaju pojedinačna prava i slobode kojima se krše ljudska prava;</w:t>
      </w:r>
    </w:p>
    <w:p w14:paraId="4FA0ED00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u području obrambenih aktivnosti: uporaba, razvoj ili proizvodnja proizvoda i tehnologija koji su zabranjeni važećim međunarodnim pravom;</w:t>
      </w:r>
    </w:p>
    <w:p w14:paraId="6BB0E62C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proizvodi i djelatnosti povezane s duhanom (uzgoj i proizvodnja, distribucija, prerada i trgovina);</w:t>
      </w:r>
    </w:p>
    <w:p w14:paraId="7C7B29A1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aktivnosti izuzete od financiranja u skladu s odgovarajućim odredbama Uredbe Horizon Europe: istraživanje kloniranja ljudi u reproduktivne svrhe; aktivnosti namijenjene modificiranju genetskog nasljeđa ljudskih bića, koje bi mogle dovesti do toga da takve promjene postanu nasljedne; i aktivnosti na stvaranju ljudskih embrija isključivo u svrhu istraživanja ili u svrhu pribavljanja matičnih stanica, uključujući somatski nuklearni transfer stanica (SCNT);</w:t>
      </w:r>
    </w:p>
    <w:p w14:paraId="1BF90B3D" w14:textId="33CA68A6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kockanje (uključujući proizvod</w:t>
      </w:r>
      <w:r w:rsidR="004174E1" w:rsidRPr="005738DF">
        <w:rPr>
          <w:rFonts w:ascii="Arial" w:hAnsi="Arial" w:cs="Arial"/>
          <w:sz w:val="20"/>
          <w:szCs w:val="20"/>
        </w:rPr>
        <w:t>n</w:t>
      </w:r>
      <w:r w:rsidRPr="005738DF">
        <w:rPr>
          <w:rFonts w:ascii="Arial" w:hAnsi="Arial" w:cs="Arial"/>
          <w:sz w:val="20"/>
          <w:szCs w:val="20"/>
        </w:rPr>
        <w:t>e, građevinske, distribucijske, prerađivačke, trgovinske ili softverske djelatnosti vezane uz kockanje);</w:t>
      </w:r>
    </w:p>
    <w:p w14:paraId="3C30DF7A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trgovina seksualnim uslugama i srodna infrastruktura (uključujući i medije vezane uz trgovinu seksualnim uslugama);</w:t>
      </w:r>
    </w:p>
    <w:p w14:paraId="39FA2DA0" w14:textId="1CEFBA4A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 xml:space="preserve">aktivnosti koje uključuju </w:t>
      </w:r>
      <w:r w:rsidR="004174E1" w:rsidRPr="005738DF">
        <w:rPr>
          <w:rFonts w:ascii="Arial" w:hAnsi="Arial" w:cs="Arial"/>
          <w:sz w:val="20"/>
          <w:szCs w:val="20"/>
        </w:rPr>
        <w:t xml:space="preserve">žive </w:t>
      </w:r>
      <w:r w:rsidRPr="005738DF">
        <w:rPr>
          <w:rFonts w:ascii="Arial" w:hAnsi="Arial" w:cs="Arial"/>
          <w:sz w:val="20"/>
          <w:szCs w:val="20"/>
        </w:rPr>
        <w:t>životinje u pokusne i znanstvene svrhe ako se ne može zajamčiti usklađenost s Europskom konvencijom o zaštiti kralježnjaka koji se koriste u pokusne i druge znanstvene svrhe;</w:t>
      </w:r>
    </w:p>
    <w:p w14:paraId="4DB538F4" w14:textId="498123A2" w:rsidR="00F33EB9" w:rsidRPr="000D220C" w:rsidRDefault="00F33EB9" w:rsidP="00C34E4C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eastAsia="Times New Roman" w:hAnsi="Arial" w:cs="Arial"/>
          <w:sz w:val="20"/>
          <w:szCs w:val="20"/>
          <w:lang w:bidi="hr-HR"/>
        </w:rPr>
        <w:t xml:space="preserve">aktivnosti koje predstavljaju </w:t>
      </w:r>
      <w:r w:rsidR="005F4A56">
        <w:rPr>
          <w:rFonts w:ascii="Arial" w:eastAsia="Times New Roman" w:hAnsi="Arial" w:cs="Arial"/>
          <w:sz w:val="20"/>
          <w:szCs w:val="20"/>
          <w:lang w:bidi="hr-HR"/>
        </w:rPr>
        <w:t xml:space="preserve">isključivo </w:t>
      </w:r>
      <w:r w:rsidRPr="005738DF">
        <w:rPr>
          <w:rFonts w:ascii="Arial" w:eastAsia="Times New Roman" w:hAnsi="Arial" w:cs="Arial"/>
          <w:sz w:val="20"/>
          <w:szCs w:val="20"/>
          <w:lang w:bidi="hr-HR"/>
        </w:rPr>
        <w:t>poslovanje nekretninama</w:t>
      </w:r>
      <w:r w:rsidR="00713567" w:rsidRPr="0031455F">
        <w:rPr>
          <w:rStyle w:val="FootnoteReference"/>
          <w:rFonts w:ascii="Arial" w:hAnsi="Arial"/>
          <w:sz w:val="20"/>
        </w:rPr>
        <w:footnoteReference w:id="11"/>
      </w:r>
      <w:r w:rsidR="00713567" w:rsidRPr="0031455F">
        <w:rPr>
          <w:rFonts w:ascii="Arial" w:hAnsi="Arial"/>
          <w:sz w:val="20"/>
        </w:rPr>
        <w:t xml:space="preserve"> </w:t>
      </w:r>
      <w:r w:rsidR="0031455F">
        <w:rPr>
          <w:rFonts w:ascii="Arial" w:eastAsia="Times New Roman" w:hAnsi="Arial" w:cs="Arial"/>
          <w:sz w:val="20"/>
          <w:szCs w:val="20"/>
          <w:lang w:bidi="hr-HR"/>
        </w:rPr>
        <w:t>ili</w:t>
      </w:r>
      <w:r w:rsidRPr="005738DF">
        <w:rPr>
          <w:rFonts w:ascii="Arial" w:eastAsia="Times New Roman" w:hAnsi="Arial" w:cs="Arial"/>
          <w:sz w:val="20"/>
          <w:szCs w:val="20"/>
          <w:lang w:bidi="hr-HR"/>
        </w:rPr>
        <w:t xml:space="preserve"> razvoj nekretnina kao što je aktivnost čija je jedina svrha obnova i ponovni zakup ili ponovna prodaja postojećih zgrada, kao i izgradnja novih</w:t>
      </w:r>
      <w:r w:rsidRPr="0031455F">
        <w:rPr>
          <w:rFonts w:ascii="Arial" w:eastAsia="Times New Roman" w:hAnsi="Arial" w:cs="Arial"/>
          <w:sz w:val="20"/>
          <w:szCs w:val="20"/>
          <w:lang w:bidi="hr-HR"/>
        </w:rPr>
        <w:t xml:space="preserve"> objekata namijenjenih prodaji</w:t>
      </w:r>
      <w:r w:rsidR="00FE1BCD" w:rsidRPr="0031455F">
        <w:rPr>
          <w:rFonts w:ascii="Arial" w:eastAsia="Times New Roman" w:hAnsi="Arial" w:cs="Arial"/>
          <w:sz w:val="20"/>
          <w:szCs w:val="20"/>
          <w:lang w:bidi="hr-HR"/>
        </w:rPr>
        <w:t xml:space="preserve"> </w:t>
      </w:r>
      <w:r w:rsidR="00FE1BCD" w:rsidRPr="00D760BE">
        <w:rPr>
          <w:rFonts w:ascii="Arial" w:hAnsi="Arial"/>
          <w:sz w:val="20"/>
        </w:rPr>
        <w:t>(</w:t>
      </w:r>
      <w:r w:rsidRPr="000D220C">
        <w:rPr>
          <w:rFonts w:ascii="Arial" w:eastAsia="Times New Roman" w:hAnsi="Arial" w:cs="Arial"/>
          <w:sz w:val="20"/>
          <w:szCs w:val="20"/>
          <w:lang w:bidi="hr-HR"/>
        </w:rPr>
        <w:t>ulaganja u projekte energetske učinkovitosti nisu isključena</w:t>
      </w:r>
      <w:r w:rsidR="00FE2B1D" w:rsidRPr="000D220C">
        <w:rPr>
          <w:rStyle w:val="FootnoteReference"/>
          <w:rFonts w:ascii="Arial" w:eastAsia="Times New Roman" w:hAnsi="Arial" w:cs="Arial"/>
          <w:sz w:val="20"/>
          <w:szCs w:val="20"/>
          <w:lang w:bidi="hr-HR"/>
        </w:rPr>
        <w:footnoteReference w:id="12"/>
      </w:r>
      <w:r w:rsidR="00FE1BCD" w:rsidRPr="000D220C">
        <w:rPr>
          <w:rFonts w:ascii="Arial" w:eastAsia="Times New Roman" w:hAnsi="Arial" w:cs="Arial"/>
          <w:sz w:val="20"/>
          <w:szCs w:val="20"/>
          <w:lang w:bidi="hr-HR"/>
        </w:rPr>
        <w:t>);</w:t>
      </w:r>
    </w:p>
    <w:p w14:paraId="3C56BCB6" w14:textId="2562F8DA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eastAsia="Times New Roman" w:hAnsi="Arial" w:cs="Arial"/>
          <w:sz w:val="20"/>
          <w:szCs w:val="20"/>
          <w:lang w:bidi="hr-HR"/>
        </w:rPr>
      </w:pPr>
      <w:r w:rsidRPr="005738DF">
        <w:rPr>
          <w:rFonts w:ascii="Arial" w:eastAsia="Times New Roman" w:hAnsi="Arial" w:cs="Arial"/>
          <w:sz w:val="20"/>
          <w:szCs w:val="20"/>
          <w:lang w:bidi="hr-HR"/>
        </w:rPr>
        <w:t xml:space="preserve">financijske aktivnosti (npr. kupnja ili trgovanje vrijednosnim papirima, financijskim instrumentima ili nekim drugim financijskim proizvodima) uključujući promjenu vlasništva (npr. spajanja i </w:t>
      </w:r>
      <w:r w:rsidR="00A34612" w:rsidRPr="005738DF">
        <w:rPr>
          <w:rFonts w:ascii="Arial" w:eastAsia="Times New Roman" w:hAnsi="Arial" w:cs="Arial"/>
          <w:sz w:val="20"/>
          <w:szCs w:val="20"/>
          <w:lang w:bidi="hr-HR"/>
        </w:rPr>
        <w:t>preuzimanja)</w:t>
      </w:r>
      <w:r w:rsidR="00A34612">
        <w:rPr>
          <w:rStyle w:val="FootnoteReference"/>
          <w:rFonts w:ascii="Arial" w:eastAsia="Times New Roman" w:hAnsi="Arial" w:cs="Arial"/>
          <w:sz w:val="20"/>
          <w:szCs w:val="20"/>
          <w:lang w:bidi="hr-HR"/>
        </w:rPr>
        <w:footnoteReference w:id="13"/>
      </w:r>
      <w:r w:rsidR="00A34612">
        <w:rPr>
          <w:rFonts w:ascii="Arial" w:eastAsia="Times New Roman" w:hAnsi="Arial" w:cs="Arial"/>
          <w:sz w:val="20"/>
          <w:szCs w:val="20"/>
          <w:lang w:bidi="hr-HR"/>
        </w:rPr>
        <w:t xml:space="preserve">. </w:t>
      </w:r>
      <w:r w:rsidR="004A539F">
        <w:rPr>
          <w:rFonts w:ascii="Arial" w:eastAsia="Times New Roman" w:hAnsi="Arial" w:cs="Arial"/>
          <w:sz w:val="20"/>
          <w:szCs w:val="20"/>
          <w:lang w:bidi="hr-HR"/>
        </w:rPr>
        <w:t xml:space="preserve">Posebno se isključuju </w:t>
      </w:r>
      <w:r w:rsidRPr="005738DF">
        <w:rPr>
          <w:rFonts w:ascii="Arial" w:eastAsia="Times New Roman" w:hAnsi="Arial" w:cs="Arial"/>
          <w:sz w:val="20"/>
          <w:szCs w:val="20"/>
          <w:lang w:bidi="hr-HR"/>
        </w:rPr>
        <w:t xml:space="preserve">aktivnosti usmjerene na otkup ili zamjenu kapitala poduzeća s ciljem isključivog preuzimanja imovine poduzeća (asset striping); </w:t>
      </w:r>
    </w:p>
    <w:p w14:paraId="66926450" w14:textId="77777777" w:rsidR="00F33EB9" w:rsidRPr="005738DF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eastAsia="Times New Roman" w:hAnsi="Arial" w:cs="Arial"/>
          <w:sz w:val="20"/>
          <w:szCs w:val="20"/>
          <w:lang w:bidi="hr-HR"/>
        </w:rPr>
        <w:t>aktivnosti zabranjene primjenjivim nacionalnim zakonodavstvom;</w:t>
      </w:r>
    </w:p>
    <w:p w14:paraId="4B081F2A" w14:textId="77777777" w:rsidR="005738DF" w:rsidRPr="005738DF" w:rsidRDefault="005738DF" w:rsidP="005738DF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aktivnosti i imovina kod kojih dugotrajno odlaganje otpada može naštetiti okolišu;</w:t>
      </w:r>
    </w:p>
    <w:p w14:paraId="3E98C68C" w14:textId="19D6E837" w:rsidR="00F33EB9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CF796E">
        <w:rPr>
          <w:rFonts w:ascii="Arial" w:eastAsia="Times New Roman" w:hAnsi="Arial" w:cs="Arial"/>
          <w:sz w:val="20"/>
          <w:szCs w:val="20"/>
          <w:lang w:bidi="hr-HR"/>
        </w:rPr>
        <w:t>aktivnosti</w:t>
      </w:r>
      <w:r w:rsidRPr="00CF796E">
        <w:rPr>
          <w:rFonts w:ascii="Arial" w:hAnsi="Arial" w:cs="Arial"/>
          <w:sz w:val="20"/>
          <w:szCs w:val="20"/>
        </w:rPr>
        <w:t xml:space="preserve"> koje imaju negativan utjecaj na okoliš, a nisu u značajnijoj mjeri ublažene ili kompenzirane;</w:t>
      </w:r>
    </w:p>
    <w:p w14:paraId="7117C07F" w14:textId="77777777" w:rsidR="00E9769D" w:rsidRPr="005738DF" w:rsidRDefault="00E9769D" w:rsidP="00E9769D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5738DF">
        <w:rPr>
          <w:rFonts w:ascii="Arial" w:hAnsi="Arial" w:cs="Arial"/>
          <w:sz w:val="20"/>
          <w:szCs w:val="20"/>
        </w:rPr>
        <w:t>sve aktivnosti koje nije dopušteno financirati potporama iz relevantnih uredbi o državnim potporama poput GBER-a, ABER-a, de minimisa i ostalih propisa primjenjivih na pojedini kredit;</w:t>
      </w:r>
    </w:p>
    <w:p w14:paraId="0FE62D6F" w14:textId="7A40CBC6" w:rsidR="00E9769D" w:rsidRPr="00186872" w:rsidRDefault="00E9769D" w:rsidP="00E9769D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eastAsia="Times New Roman" w:hAnsi="Arial" w:cs="Arial"/>
          <w:sz w:val="20"/>
          <w:szCs w:val="20"/>
          <w:lang w:bidi="hr-HR"/>
        </w:rPr>
        <w:t xml:space="preserve">sve zabrane i ograničenja sukladno ugovorima između HBOR-a i financijskih institucija </w:t>
      </w:r>
      <w:r>
        <w:rPr>
          <w:rFonts w:ascii="Arial" w:eastAsia="Times New Roman" w:hAnsi="Arial" w:cs="Arial"/>
          <w:sz w:val="20"/>
          <w:szCs w:val="20"/>
          <w:lang w:bidi="hr-HR"/>
        </w:rPr>
        <w:t>i/ili sukladno programima i/ili drugim aktima primjenjivih na pojedini kredit</w:t>
      </w:r>
      <w:r w:rsidR="00C7529D">
        <w:rPr>
          <w:rFonts w:ascii="Arial" w:eastAsia="Times New Roman" w:hAnsi="Arial" w:cs="Arial"/>
          <w:sz w:val="20"/>
          <w:szCs w:val="20"/>
          <w:lang w:bidi="hr-HR"/>
        </w:rPr>
        <w:t>;</w:t>
      </w:r>
    </w:p>
    <w:p w14:paraId="5DADC798" w14:textId="77777777" w:rsidR="00E9769D" w:rsidRPr="00186872" w:rsidRDefault="00E9769D" w:rsidP="00E9769D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lastRenderedPageBreak/>
        <w:t>ulaganja ili dijelovi ulaganja koja služe u osobne svrhe;</w:t>
      </w:r>
    </w:p>
    <w:p w14:paraId="0605BD75" w14:textId="77777777" w:rsidR="00F33EB9" w:rsidRPr="00CF796E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CF796E">
        <w:rPr>
          <w:rFonts w:ascii="Arial" w:hAnsi="Arial" w:cs="Arial"/>
          <w:sz w:val="20"/>
          <w:szCs w:val="20"/>
        </w:rPr>
        <w:t>kupnja nekretnina ili pokretnina od povezanih osoba;</w:t>
      </w:r>
    </w:p>
    <w:p w14:paraId="2541E7C1" w14:textId="4FEA87DB" w:rsidR="00F33EB9" w:rsidRPr="00CF796E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CF796E">
        <w:rPr>
          <w:rFonts w:ascii="Arial" w:hAnsi="Arial" w:cs="Arial"/>
          <w:sz w:val="20"/>
          <w:szCs w:val="20"/>
        </w:rPr>
        <w:t>ulaganje u nekretnine koje nisu u vlasništvu korisnika kredita</w:t>
      </w:r>
      <w:r w:rsidR="00A76DEB">
        <w:rPr>
          <w:rStyle w:val="FootnoteReference"/>
          <w:rFonts w:ascii="Arial" w:hAnsi="Arial" w:cs="Arial"/>
          <w:sz w:val="20"/>
          <w:szCs w:val="20"/>
        </w:rPr>
        <w:footnoteReference w:id="14"/>
      </w:r>
      <w:r w:rsidRPr="00CF796E">
        <w:rPr>
          <w:rFonts w:ascii="Arial" w:hAnsi="Arial" w:cs="Arial"/>
          <w:sz w:val="20"/>
          <w:szCs w:val="20"/>
        </w:rPr>
        <w:t>;</w:t>
      </w:r>
    </w:p>
    <w:p w14:paraId="6FEA7831" w14:textId="77777777" w:rsidR="00E9769D" w:rsidRDefault="00E9769D" w:rsidP="00E9769D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refinanciranje postojećih kredita ako se radi o investicijskom ulaganju;</w:t>
      </w:r>
    </w:p>
    <w:p w14:paraId="04436429" w14:textId="7EB71991" w:rsidR="00F33EB9" w:rsidRPr="00186872" w:rsidRDefault="00AE1C4C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financiranje obrtnih sredstava za</w:t>
      </w:r>
      <w:r w:rsidR="007C356E">
        <w:rPr>
          <w:rFonts w:ascii="Arial" w:hAnsi="Arial" w:cs="Arial"/>
          <w:sz w:val="20"/>
          <w:szCs w:val="20"/>
        </w:rPr>
        <w:t xml:space="preserve"> </w:t>
      </w:r>
      <w:r w:rsidR="00F33EB9" w:rsidRPr="00186872">
        <w:rPr>
          <w:rFonts w:ascii="Arial" w:hAnsi="Arial" w:cs="Arial"/>
          <w:sz w:val="20"/>
          <w:szCs w:val="20"/>
        </w:rPr>
        <w:t>trgovačke djelatnosti</w:t>
      </w:r>
      <w:r w:rsidR="00A76DEB">
        <w:rPr>
          <w:rStyle w:val="FootnoteReference"/>
          <w:rFonts w:ascii="Arial" w:hAnsi="Arial" w:cs="Arial"/>
          <w:sz w:val="20"/>
          <w:szCs w:val="20"/>
        </w:rPr>
        <w:footnoteReference w:id="15"/>
      </w:r>
      <w:r w:rsidR="00F33EB9" w:rsidRPr="00186872">
        <w:rPr>
          <w:rFonts w:ascii="Arial" w:hAnsi="Arial" w:cs="Arial"/>
          <w:sz w:val="20"/>
          <w:szCs w:val="20"/>
        </w:rPr>
        <w:t>;</w:t>
      </w:r>
    </w:p>
    <w:p w14:paraId="12D001DB" w14:textId="60F420E7" w:rsidR="00F33EB9" w:rsidRPr="00186872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ulaganje u apartmane, sobe za iznajmljivanje i kuće za odmor</w:t>
      </w:r>
      <w:r w:rsidR="005C1C15">
        <w:rPr>
          <w:rStyle w:val="FootnoteReference"/>
          <w:rFonts w:ascii="Arial" w:hAnsi="Arial" w:cs="Arial"/>
          <w:sz w:val="20"/>
          <w:szCs w:val="20"/>
        </w:rPr>
        <w:footnoteReference w:id="16"/>
      </w:r>
      <w:r w:rsidRPr="00186872">
        <w:rPr>
          <w:rFonts w:ascii="Arial" w:hAnsi="Arial" w:cs="Arial"/>
          <w:sz w:val="20"/>
          <w:szCs w:val="20"/>
        </w:rPr>
        <w:t>;</w:t>
      </w:r>
    </w:p>
    <w:p w14:paraId="3A366A79" w14:textId="77777777" w:rsidR="00F33EB9" w:rsidRPr="00186872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javnobilježnička djelatnost;</w:t>
      </w:r>
    </w:p>
    <w:p w14:paraId="549F7328" w14:textId="77777777" w:rsidR="00F33EB9" w:rsidRPr="00186872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hAnsi="Arial" w:cs="Arial"/>
          <w:sz w:val="20"/>
          <w:szCs w:val="20"/>
        </w:rPr>
        <w:t>djelatnosti izdavanja novina i drugih povremenih izdanja, djelatnosti proizvodnje i emitiranja radijskog i televizijskog sadržaja, djelatnosti novinskih agencija te uslužnih djelatnosti agencija za oglašavanje i odnosa s javnošću;</w:t>
      </w:r>
    </w:p>
    <w:p w14:paraId="17B7F9C8" w14:textId="79887F35" w:rsidR="00E9769D" w:rsidRPr="00186872" w:rsidRDefault="00E9769D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ugostiteljski objekti koji isključivo pružaju uslugu točenja pića;</w:t>
      </w:r>
    </w:p>
    <w:p w14:paraId="13EC4344" w14:textId="0B59CBB7" w:rsidR="00E9769D" w:rsidRPr="00E9769D" w:rsidRDefault="00F33EB9" w:rsidP="001A4F54">
      <w:pPr>
        <w:pStyle w:val="Style30"/>
        <w:numPr>
          <w:ilvl w:val="0"/>
          <w:numId w:val="12"/>
        </w:numPr>
        <w:shd w:val="clear" w:color="auto" w:fill="auto"/>
        <w:spacing w:before="120" w:line="276" w:lineRule="auto"/>
        <w:ind w:left="760" w:hanging="601"/>
        <w:rPr>
          <w:rFonts w:ascii="Arial" w:hAnsi="Arial" w:cs="Arial"/>
          <w:sz w:val="20"/>
          <w:szCs w:val="20"/>
        </w:rPr>
      </w:pPr>
      <w:r w:rsidRPr="00186872">
        <w:rPr>
          <w:rFonts w:ascii="Arial" w:eastAsiaTheme="minorHAnsi" w:hAnsi="Arial" w:cs="Arial"/>
          <w:sz w:val="20"/>
          <w:lang w:eastAsia="en-US"/>
        </w:rPr>
        <w:t>obiteljski domovi sukladno Zakonu o socijalnoj skrbi</w:t>
      </w:r>
      <w:r w:rsidR="00CF185E">
        <w:rPr>
          <w:rStyle w:val="FootnoteReference"/>
          <w:rFonts w:ascii="Arial" w:eastAsiaTheme="minorHAnsi" w:hAnsi="Arial" w:cs="Arial"/>
          <w:sz w:val="20"/>
          <w:lang w:eastAsia="en-US"/>
        </w:rPr>
        <w:footnoteReference w:id="17"/>
      </w:r>
      <w:r w:rsidR="006B6184">
        <w:rPr>
          <w:rFonts w:ascii="Arial" w:eastAsiaTheme="minorHAnsi" w:hAnsi="Arial" w:cs="Arial"/>
          <w:sz w:val="20"/>
          <w:lang w:eastAsia="en-US"/>
        </w:rPr>
        <w:t>.</w:t>
      </w:r>
    </w:p>
    <w:p w14:paraId="33133193" w14:textId="7BA5FBFF" w:rsidR="00F33EB9" w:rsidRPr="00E9769D" w:rsidRDefault="00F33EB9" w:rsidP="00E9769D">
      <w:pPr>
        <w:pStyle w:val="Style30"/>
        <w:shd w:val="clear" w:color="auto" w:fill="auto"/>
        <w:spacing w:before="120" w:line="276" w:lineRule="auto"/>
        <w:ind w:left="760" w:firstLine="0"/>
        <w:rPr>
          <w:rFonts w:ascii="Arial" w:hAnsi="Arial" w:cs="Arial"/>
          <w:sz w:val="20"/>
          <w:szCs w:val="20"/>
        </w:rPr>
      </w:pPr>
    </w:p>
    <w:sectPr w:rsidR="00F33EB9" w:rsidRPr="00E9769D" w:rsidSect="00E26BA8">
      <w:footerReference w:type="default" r:id="rId15"/>
      <w:headerReference w:type="first" r:id="rId16"/>
      <w:footerReference w:type="first" r:id="rId17"/>
      <w:pgSz w:w="11907" w:h="16840" w:code="9"/>
      <w:pgMar w:top="1361" w:right="1418" w:bottom="1361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F0CA46" w14:textId="77777777" w:rsidR="006A183F" w:rsidRDefault="006A183F" w:rsidP="006372FA">
      <w:r>
        <w:separator/>
      </w:r>
    </w:p>
  </w:endnote>
  <w:endnote w:type="continuationSeparator" w:id="0">
    <w:p w14:paraId="0911A741" w14:textId="77777777" w:rsidR="006A183F" w:rsidRDefault="006A183F" w:rsidP="006372FA">
      <w:r>
        <w:continuationSeparator/>
      </w:r>
    </w:p>
  </w:endnote>
  <w:endnote w:type="continuationNotice" w:id="1">
    <w:p w14:paraId="09D930DD" w14:textId="77777777" w:rsidR="006A183F" w:rsidRDefault="006A1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258574892"/>
      <w:docPartObj>
        <w:docPartGallery w:val="Page Numbers (Bottom of Page)"/>
        <w:docPartUnique/>
      </w:docPartObj>
    </w:sdtPr>
    <w:sdtContent>
      <w:p w14:paraId="748B7774" w14:textId="02331942" w:rsidR="009B4C44" w:rsidRPr="0098008F" w:rsidRDefault="009B4C44">
        <w:pPr>
          <w:pStyle w:val="Footer"/>
          <w:jc w:val="right"/>
          <w:rPr>
            <w:sz w:val="18"/>
            <w:szCs w:val="18"/>
          </w:rPr>
        </w:pPr>
        <w:r w:rsidRPr="0098008F">
          <w:rPr>
            <w:sz w:val="18"/>
            <w:szCs w:val="18"/>
          </w:rPr>
          <w:fldChar w:fldCharType="begin"/>
        </w:r>
        <w:r w:rsidRPr="0098008F">
          <w:rPr>
            <w:sz w:val="18"/>
            <w:szCs w:val="18"/>
          </w:rPr>
          <w:instrText>PAGE   \* MERGEFORMAT</w:instrText>
        </w:r>
        <w:r w:rsidRPr="0098008F">
          <w:rPr>
            <w:sz w:val="18"/>
            <w:szCs w:val="18"/>
          </w:rPr>
          <w:fldChar w:fldCharType="separate"/>
        </w:r>
        <w:r w:rsidRPr="0098008F">
          <w:rPr>
            <w:sz w:val="18"/>
            <w:szCs w:val="18"/>
          </w:rPr>
          <w:t>2</w:t>
        </w:r>
        <w:r w:rsidRPr="0098008F">
          <w:rPr>
            <w:sz w:val="18"/>
            <w:szCs w:val="18"/>
          </w:rPr>
          <w:fldChar w:fldCharType="end"/>
        </w:r>
        <w:r w:rsidR="00941A73" w:rsidRPr="0098008F">
          <w:rPr>
            <w:sz w:val="18"/>
            <w:szCs w:val="18"/>
          </w:rPr>
          <w:t>/</w:t>
        </w:r>
        <w:r w:rsidR="00D2306E" w:rsidRPr="0098008F">
          <w:rPr>
            <w:sz w:val="18"/>
            <w:szCs w:val="18"/>
          </w:rPr>
          <w:t>1</w:t>
        </w:r>
        <w:r w:rsidR="00574765" w:rsidRPr="0098008F">
          <w:rPr>
            <w:sz w:val="18"/>
            <w:szCs w:val="18"/>
          </w:rPr>
          <w:t>2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806650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5F82B1" w14:textId="7D67D286" w:rsidR="00D2306E" w:rsidRPr="00D2306E" w:rsidRDefault="00D2306E">
            <w:pPr>
              <w:pStyle w:val="Footer"/>
              <w:jc w:val="right"/>
            </w:pPr>
            <w:r w:rsidRPr="009374CE">
              <w:rPr>
                <w:sz w:val="18"/>
                <w:szCs w:val="18"/>
              </w:rPr>
              <w:fldChar w:fldCharType="begin"/>
            </w:r>
            <w:r w:rsidRPr="009374CE">
              <w:rPr>
                <w:sz w:val="18"/>
                <w:szCs w:val="18"/>
              </w:rPr>
              <w:instrText xml:space="preserve"> PAGE </w:instrText>
            </w:r>
            <w:r w:rsidRPr="009374CE">
              <w:rPr>
                <w:sz w:val="18"/>
                <w:szCs w:val="18"/>
              </w:rPr>
              <w:fldChar w:fldCharType="separate"/>
            </w:r>
            <w:r w:rsidRPr="009374CE">
              <w:rPr>
                <w:noProof/>
                <w:sz w:val="18"/>
                <w:szCs w:val="18"/>
              </w:rPr>
              <w:t>2</w:t>
            </w:r>
            <w:r w:rsidRPr="009374CE">
              <w:rPr>
                <w:sz w:val="18"/>
                <w:szCs w:val="18"/>
              </w:rPr>
              <w:fldChar w:fldCharType="end"/>
            </w:r>
            <w:r w:rsidRPr="009374CE">
              <w:rPr>
                <w:sz w:val="18"/>
                <w:szCs w:val="18"/>
              </w:rPr>
              <w:t>/</w:t>
            </w:r>
            <w:r w:rsidRPr="009374CE">
              <w:rPr>
                <w:sz w:val="18"/>
                <w:szCs w:val="18"/>
              </w:rPr>
              <w:fldChar w:fldCharType="begin"/>
            </w:r>
            <w:r w:rsidRPr="009374CE">
              <w:rPr>
                <w:sz w:val="18"/>
                <w:szCs w:val="18"/>
              </w:rPr>
              <w:instrText xml:space="preserve"> NUMPAGES  </w:instrText>
            </w:r>
            <w:r w:rsidRPr="009374CE">
              <w:rPr>
                <w:sz w:val="18"/>
                <w:szCs w:val="18"/>
              </w:rPr>
              <w:fldChar w:fldCharType="separate"/>
            </w:r>
            <w:r w:rsidRPr="009374CE">
              <w:rPr>
                <w:noProof/>
                <w:sz w:val="18"/>
                <w:szCs w:val="18"/>
              </w:rPr>
              <w:t>2</w:t>
            </w:r>
            <w:r w:rsidRPr="009374CE">
              <w:rPr>
                <w:noProof/>
                <w:sz w:val="18"/>
                <w:szCs w:val="18"/>
              </w:rPr>
              <w:fldChar w:fldCharType="end"/>
            </w:r>
          </w:p>
        </w:sdtContent>
      </w:sdt>
    </w:sdtContent>
  </w:sdt>
  <w:p w14:paraId="78CB6FBE" w14:textId="38A97067" w:rsidR="001947DC" w:rsidRPr="00D2306E" w:rsidRDefault="009E43A3" w:rsidP="00D2306E">
    <w:pPr>
      <w:pStyle w:val="Footer"/>
    </w:pPr>
    <w:r>
      <w:rPr>
        <w:sz w:val="16"/>
        <w:szCs w:val="16"/>
      </w:rPr>
      <w:t xml:space="preserve">U primjeni od </w:t>
    </w:r>
    <w:r w:rsidR="006350A4">
      <w:rPr>
        <w:sz w:val="16"/>
        <w:szCs w:val="16"/>
      </w:rPr>
      <w:t>2</w:t>
    </w:r>
    <w:r>
      <w:rPr>
        <w:sz w:val="16"/>
        <w:szCs w:val="16"/>
      </w:rPr>
      <w:t>.</w:t>
    </w:r>
    <w:r w:rsidR="00B20094">
      <w:rPr>
        <w:sz w:val="16"/>
        <w:szCs w:val="16"/>
      </w:rPr>
      <w:t xml:space="preserve"> </w:t>
    </w:r>
    <w:r w:rsidR="006350A4">
      <w:rPr>
        <w:sz w:val="16"/>
        <w:szCs w:val="16"/>
      </w:rPr>
      <w:t>6</w:t>
    </w:r>
    <w:r w:rsidR="008A69A7">
      <w:rPr>
        <w:sz w:val="16"/>
        <w:szCs w:val="16"/>
      </w:rPr>
      <w:t>.</w:t>
    </w:r>
    <w:r w:rsidR="00996FD7">
      <w:rPr>
        <w:sz w:val="16"/>
        <w:szCs w:val="16"/>
      </w:rPr>
      <w:t xml:space="preserve"> 2023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7CEAF" w14:textId="77777777" w:rsidR="006A183F" w:rsidRDefault="006A183F" w:rsidP="006372FA">
      <w:r>
        <w:separator/>
      </w:r>
    </w:p>
  </w:footnote>
  <w:footnote w:type="continuationSeparator" w:id="0">
    <w:p w14:paraId="05814893" w14:textId="77777777" w:rsidR="006A183F" w:rsidRDefault="006A183F" w:rsidP="006372FA">
      <w:r>
        <w:continuationSeparator/>
      </w:r>
    </w:p>
  </w:footnote>
  <w:footnote w:type="continuationNotice" w:id="1">
    <w:p w14:paraId="19C1528B" w14:textId="77777777" w:rsidR="006A183F" w:rsidRDefault="006A183F"/>
  </w:footnote>
  <w:footnote w:id="2">
    <w:p w14:paraId="4DB05857" w14:textId="77777777" w:rsidR="0094020A" w:rsidRPr="003E6B2A" w:rsidRDefault="0094020A" w:rsidP="0094020A">
      <w:pPr>
        <w:pStyle w:val="FootnoteText"/>
        <w:spacing w:before="120"/>
        <w:rPr>
          <w:rFonts w:ascii="Arial Narrow" w:hAnsi="Arial Narrow"/>
          <w:sz w:val="18"/>
          <w:szCs w:val="18"/>
        </w:rPr>
      </w:pPr>
      <w:r w:rsidRPr="003E6B2A">
        <w:rPr>
          <w:rStyle w:val="FootnoteReference"/>
          <w:rFonts w:cs="Arial"/>
        </w:rPr>
        <w:footnoteRef/>
      </w:r>
      <w:r w:rsidRPr="003E6B2A">
        <w:rPr>
          <w:rFonts w:cs="Arial"/>
        </w:rPr>
        <w:t xml:space="preserve"> </w:t>
      </w:r>
      <w:r w:rsidRPr="003E6B2A">
        <w:rPr>
          <w:rFonts w:cs="Arial"/>
          <w:sz w:val="18"/>
          <w:szCs w:val="18"/>
        </w:rPr>
        <w:t>RDI - Research, Development and Innovation</w:t>
      </w:r>
    </w:p>
  </w:footnote>
  <w:footnote w:id="3">
    <w:p w14:paraId="2B0B26F6" w14:textId="265EAA9B" w:rsidR="00A34612" w:rsidRPr="00575CC6" w:rsidRDefault="00A34612" w:rsidP="00A34612">
      <w:pPr>
        <w:pStyle w:val="FootnoteText"/>
        <w:rPr>
          <w:rFonts w:cs="Arial"/>
          <w:sz w:val="18"/>
          <w:szCs w:val="18"/>
        </w:rPr>
      </w:pPr>
      <w:r w:rsidRPr="009374CE">
        <w:rPr>
          <w:rStyle w:val="FootnoteReference"/>
          <w:rFonts w:cs="Arial"/>
        </w:rPr>
        <w:footnoteRef/>
      </w:r>
      <w:r w:rsidRPr="00B31C9E">
        <w:rPr>
          <w:rFonts w:cs="Arial"/>
          <w:sz w:val="18"/>
          <w:szCs w:val="18"/>
        </w:rPr>
        <w:t xml:space="preserve"> </w:t>
      </w:r>
      <w:r w:rsidR="00654ABC" w:rsidRPr="00B31C9E">
        <w:rPr>
          <w:rFonts w:cs="Arial"/>
          <w:sz w:val="18"/>
          <w:szCs w:val="18"/>
        </w:rPr>
        <w:t>Poticajna kamatna stopa može biti i kamatna stopa koja sadrži umanjenje kamatne stope</w:t>
      </w:r>
      <w:r w:rsidR="00B31C9E" w:rsidRPr="00B31C9E">
        <w:rPr>
          <w:rFonts w:cs="Arial"/>
          <w:sz w:val="18"/>
          <w:szCs w:val="18"/>
        </w:rPr>
        <w:t xml:space="preserve"> za korisnika kredita</w:t>
      </w:r>
      <w:r w:rsidR="00654ABC" w:rsidRPr="00B31C9E">
        <w:rPr>
          <w:rFonts w:cs="Arial"/>
          <w:sz w:val="18"/>
          <w:szCs w:val="18"/>
        </w:rPr>
        <w:t xml:space="preserve"> ili </w:t>
      </w:r>
      <w:r w:rsidR="00B31C9E" w:rsidRPr="00B31C9E">
        <w:rPr>
          <w:rFonts w:cs="Arial"/>
          <w:sz w:val="18"/>
          <w:szCs w:val="18"/>
        </w:rPr>
        <w:t>kamatna stopa, uključujući tržišnu kamatnu stopu</w:t>
      </w:r>
      <w:r w:rsidR="00D929CB">
        <w:rPr>
          <w:rFonts w:cs="Arial"/>
          <w:sz w:val="18"/>
          <w:szCs w:val="18"/>
        </w:rPr>
        <w:t>,</w:t>
      </w:r>
      <w:r w:rsidR="00B31C9E" w:rsidRPr="00B31C9E">
        <w:rPr>
          <w:rFonts w:cs="Arial"/>
          <w:sz w:val="18"/>
          <w:szCs w:val="18"/>
        </w:rPr>
        <w:t xml:space="preserve"> umanjen</w:t>
      </w:r>
      <w:r w:rsidR="00D929CB">
        <w:rPr>
          <w:rFonts w:cs="Arial"/>
          <w:sz w:val="18"/>
          <w:szCs w:val="18"/>
        </w:rPr>
        <w:t>a</w:t>
      </w:r>
      <w:r w:rsidR="00B31C9E" w:rsidRPr="00B31C9E">
        <w:rPr>
          <w:rFonts w:cs="Arial"/>
          <w:sz w:val="18"/>
          <w:szCs w:val="18"/>
        </w:rPr>
        <w:t xml:space="preserve"> za </w:t>
      </w:r>
      <w:r w:rsidR="00654ABC" w:rsidRPr="00B31C9E">
        <w:rPr>
          <w:rFonts w:cs="Arial"/>
          <w:sz w:val="18"/>
          <w:szCs w:val="18"/>
        </w:rPr>
        <w:t>subvenciju kamatne stope</w:t>
      </w:r>
      <w:r w:rsidR="00B31C9E" w:rsidRPr="00B31C9E">
        <w:rPr>
          <w:rFonts w:cs="Arial"/>
          <w:sz w:val="18"/>
          <w:szCs w:val="18"/>
        </w:rPr>
        <w:t>.</w:t>
      </w:r>
    </w:p>
  </w:footnote>
  <w:footnote w:id="4">
    <w:p w14:paraId="632A5BDA" w14:textId="77777777" w:rsidR="000F5149" w:rsidRPr="009374CE" w:rsidRDefault="000F5149" w:rsidP="000F5149">
      <w:pPr>
        <w:pStyle w:val="Header"/>
        <w:tabs>
          <w:tab w:val="clear" w:pos="4536"/>
          <w:tab w:val="clear" w:pos="9072"/>
          <w:tab w:val="center" w:pos="4703"/>
          <w:tab w:val="right" w:pos="9406"/>
        </w:tabs>
        <w:spacing w:before="120"/>
        <w:jc w:val="both"/>
        <w:rPr>
          <w:rFonts w:cs="Arial"/>
          <w:sz w:val="18"/>
          <w:szCs w:val="18"/>
        </w:rPr>
      </w:pPr>
      <w:r w:rsidRPr="009374CE">
        <w:rPr>
          <w:rStyle w:val="FootnoteReference"/>
          <w:rFonts w:cs="Arial"/>
          <w:szCs w:val="20"/>
        </w:rPr>
        <w:footnoteRef/>
      </w:r>
      <w:r w:rsidRPr="009374CE">
        <w:rPr>
          <w:rFonts w:cs="Arial"/>
          <w:sz w:val="18"/>
          <w:szCs w:val="18"/>
        </w:rPr>
        <w:t xml:space="preserve"> Kamatna stopa koja se primjenjuje pri diskontiranju je diskontna kamatna stopa. </w:t>
      </w:r>
      <w:r w:rsidRPr="009374CE">
        <w:rPr>
          <w:rFonts w:cs="Arial"/>
          <w:b/>
          <w:sz w:val="18"/>
          <w:szCs w:val="18"/>
        </w:rPr>
        <w:t>Diskontna kamatna stopa</w:t>
      </w:r>
      <w:r w:rsidRPr="009374CE">
        <w:rPr>
          <w:rFonts w:cs="Arial"/>
          <w:sz w:val="18"/>
          <w:szCs w:val="18"/>
        </w:rPr>
        <w:t xml:space="preserve"> je osnovna stopa (koju izračunava i objavljuje Europska komisija) uvećana za 100 baznih bodova. Pravila HBOR-a o određivanju referentnih i diskontnih stopa usklađena su s važećim pravilima Europske komisije, odnosno Priopćenju Komisije o reviziji načina određivanja referentnih i diskontnih stopa (SL C 14, 19.1.2008.).</w:t>
      </w:r>
    </w:p>
  </w:footnote>
  <w:footnote w:id="5">
    <w:p w14:paraId="7DACAA82" w14:textId="60477DC7" w:rsidR="000C6BB0" w:rsidRPr="009374CE" w:rsidRDefault="000C6BB0" w:rsidP="003E6B2A">
      <w:pPr>
        <w:pStyle w:val="FootnoteText"/>
        <w:spacing w:before="120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r w:rsidRPr="009374CE">
        <w:t xml:space="preserve"> </w:t>
      </w:r>
      <w:r w:rsidRPr="009374CE">
        <w:rPr>
          <w:sz w:val="18"/>
          <w:szCs w:val="18"/>
        </w:rPr>
        <w:t xml:space="preserve">Za djelatnosti industrije i usluga kao i preradu i stavljanje na tržište poljoprivrednih proizvoda, potpore se dodjeljuju </w:t>
      </w:r>
      <w:r w:rsidR="003D4B5E" w:rsidRPr="009374CE">
        <w:rPr>
          <w:sz w:val="18"/>
          <w:szCs w:val="18"/>
        </w:rPr>
        <w:t>na temelju</w:t>
      </w:r>
      <w:r w:rsidRPr="009374CE">
        <w:rPr>
          <w:sz w:val="18"/>
          <w:szCs w:val="18"/>
        </w:rPr>
        <w:t xml:space="preserve"> </w:t>
      </w:r>
      <w:r w:rsidRPr="009374CE">
        <w:rPr>
          <w:rFonts w:cs="Arial"/>
          <w:sz w:val="18"/>
          <w:szCs w:val="18"/>
        </w:rPr>
        <w:t xml:space="preserve">Programa dodjele državnih potpora HBOR-a; dok se za djelatnosti primarne poljoprivredne proizvodnje potpore dodjeljuju </w:t>
      </w:r>
      <w:r w:rsidR="00714A7A" w:rsidRPr="009374CE">
        <w:rPr>
          <w:rFonts w:cs="Arial"/>
          <w:sz w:val="18"/>
          <w:szCs w:val="18"/>
        </w:rPr>
        <w:t xml:space="preserve">na temelju </w:t>
      </w:r>
      <w:r w:rsidRPr="009374CE">
        <w:rPr>
          <w:rFonts w:cs="Arial"/>
          <w:sz w:val="18"/>
          <w:szCs w:val="18"/>
        </w:rPr>
        <w:t>Programa dodjele državnih potpora sektoru poljoprivrede</w:t>
      </w:r>
      <w:r w:rsidR="003D4B5E" w:rsidRPr="009374CE">
        <w:rPr>
          <w:rFonts w:cs="Arial"/>
          <w:sz w:val="18"/>
          <w:szCs w:val="18"/>
        </w:rPr>
        <w:t xml:space="preserve"> HBOR-a</w:t>
      </w:r>
      <w:r w:rsidRPr="009374CE">
        <w:rPr>
          <w:rFonts w:cs="Arial"/>
          <w:sz w:val="18"/>
          <w:szCs w:val="18"/>
        </w:rPr>
        <w:t>)</w:t>
      </w:r>
      <w:r w:rsidR="00C63493" w:rsidRPr="009374CE">
        <w:rPr>
          <w:rFonts w:cs="Arial"/>
          <w:sz w:val="18"/>
          <w:szCs w:val="18"/>
        </w:rPr>
        <w:t>.</w:t>
      </w:r>
    </w:p>
  </w:footnote>
  <w:footnote w:id="6">
    <w:p w14:paraId="4A87FC21" w14:textId="4485FBCC" w:rsidR="000C6BB0" w:rsidRPr="009374CE" w:rsidRDefault="000C6BB0" w:rsidP="0026616A">
      <w:pPr>
        <w:pStyle w:val="FootnoteText"/>
        <w:spacing w:before="120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r w:rsidRPr="009374CE">
        <w:t xml:space="preserve"> </w:t>
      </w:r>
      <w:r w:rsidRPr="009374CE">
        <w:rPr>
          <w:sz w:val="18"/>
          <w:szCs w:val="18"/>
        </w:rPr>
        <w:t>Program dodjele potpora male vrijednosti HBOR-a, te Program dodjele potpore male vrijednosti primarnoj poljoprivrednoj proizvodnji</w:t>
      </w:r>
      <w:r w:rsidR="003D4B5E" w:rsidRPr="009374CE">
        <w:rPr>
          <w:sz w:val="18"/>
          <w:szCs w:val="18"/>
        </w:rPr>
        <w:t xml:space="preserve"> HBOR-a</w:t>
      </w:r>
      <w:r w:rsidR="00C63493" w:rsidRPr="009374CE">
        <w:rPr>
          <w:sz w:val="18"/>
          <w:szCs w:val="18"/>
        </w:rPr>
        <w:t>.</w:t>
      </w:r>
    </w:p>
  </w:footnote>
  <w:footnote w:id="7">
    <w:p w14:paraId="1BAB8E09" w14:textId="6A6681EE" w:rsidR="000D4163" w:rsidRPr="009374CE" w:rsidRDefault="000D4163" w:rsidP="00B12AF5">
      <w:pPr>
        <w:pStyle w:val="FootnoteText"/>
        <w:spacing w:before="120"/>
        <w:jc w:val="both"/>
        <w:rPr>
          <w:rFonts w:cs="Arial"/>
          <w:iCs/>
          <w:sz w:val="18"/>
          <w:szCs w:val="18"/>
        </w:rPr>
      </w:pPr>
      <w:r w:rsidRPr="009374CE">
        <w:rPr>
          <w:rStyle w:val="FootnoteReference"/>
          <w:rFonts w:cs="Arial"/>
        </w:rPr>
        <w:footnoteRef/>
      </w:r>
      <w:r w:rsidRPr="009374CE">
        <w:rPr>
          <w:rFonts w:cs="Arial"/>
          <w:sz w:val="18"/>
          <w:szCs w:val="18"/>
        </w:rPr>
        <w:t xml:space="preserve"> </w:t>
      </w:r>
      <w:r w:rsidR="00C40089" w:rsidRPr="009374CE">
        <w:rPr>
          <w:rFonts w:cs="Arial"/>
          <w:sz w:val="18"/>
          <w:szCs w:val="18"/>
        </w:rPr>
        <w:t xml:space="preserve">Državne potpore i učinak poticaja primjenjuju se </w:t>
      </w:r>
      <w:r w:rsidRPr="009374CE">
        <w:rPr>
          <w:rFonts w:cs="Arial"/>
          <w:sz w:val="18"/>
          <w:szCs w:val="18"/>
        </w:rPr>
        <w:t>kod programa koji omogućavaju ulaganja u osnovna sredstva</w:t>
      </w:r>
      <w:r w:rsidR="00C74C4A" w:rsidRPr="009374CE">
        <w:rPr>
          <w:rFonts w:cs="Arial"/>
          <w:sz w:val="18"/>
          <w:szCs w:val="18"/>
        </w:rPr>
        <w:t>.</w:t>
      </w:r>
    </w:p>
  </w:footnote>
  <w:footnote w:id="8">
    <w:p w14:paraId="32D43F6E" w14:textId="18DB8800" w:rsidR="00797165" w:rsidRPr="0080477B" w:rsidRDefault="00797165" w:rsidP="00B12AF5">
      <w:pPr>
        <w:pStyle w:val="Header"/>
        <w:spacing w:before="120"/>
        <w:jc w:val="both"/>
        <w:rPr>
          <w:rFonts w:cs="Arial"/>
          <w:sz w:val="16"/>
          <w:szCs w:val="16"/>
        </w:rPr>
      </w:pPr>
      <w:r w:rsidRPr="009374CE">
        <w:rPr>
          <w:rStyle w:val="FootnoteReference"/>
          <w:rFonts w:cs="Arial"/>
          <w:szCs w:val="20"/>
        </w:rPr>
        <w:footnoteRef/>
      </w:r>
      <w:r w:rsidRPr="009374CE">
        <w:rPr>
          <w:rFonts w:cs="Arial"/>
          <w:sz w:val="18"/>
          <w:szCs w:val="18"/>
        </w:rPr>
        <w:t xml:space="preserve"> Početak radova znači početak građevinskih radova povezanih s ulaganjem ili prvu zakonski obvezujuću obvezu za naručivanje opreme ili bilo koju drugu obvezu zbog koje ulaganje postaje nepovratno, ovisno o tome koje od nabrojenog nastupi</w:t>
      </w:r>
      <w:r w:rsidRPr="009374CE">
        <w:rPr>
          <w:rFonts w:ascii="Arial Narrow" w:hAnsi="Arial Narrow" w:cs="Arial"/>
          <w:sz w:val="18"/>
          <w:szCs w:val="18"/>
        </w:rPr>
        <w:t xml:space="preserve"> </w:t>
      </w:r>
      <w:r w:rsidRPr="009374CE">
        <w:rPr>
          <w:rFonts w:cs="Arial"/>
          <w:sz w:val="18"/>
          <w:szCs w:val="18"/>
        </w:rPr>
        <w:t>prvo, isključujući pripremne radove (kupnja zemljišta i pripremni radovi kao što je ishođenje dozvola i provođenje studija izvedivosti ne smatraju se početkom radova). U slučaju preuzimanja poduzetnika, početak radova znači trenutak stjecanja imovine koja je izravno povezana sa stečenom poslovnom jedinicom.</w:t>
      </w:r>
      <w:r w:rsidRPr="0080477B">
        <w:rPr>
          <w:rFonts w:cs="Arial"/>
          <w:sz w:val="16"/>
          <w:szCs w:val="16"/>
        </w:rPr>
        <w:t xml:space="preserve"> </w:t>
      </w:r>
    </w:p>
  </w:footnote>
  <w:footnote w:id="9">
    <w:p w14:paraId="1600088C" w14:textId="48A5A740" w:rsidR="00797165" w:rsidRPr="009374CE" w:rsidRDefault="00797165" w:rsidP="00B12AF5">
      <w:pPr>
        <w:pStyle w:val="Header"/>
        <w:spacing w:before="120"/>
        <w:jc w:val="both"/>
        <w:rPr>
          <w:sz w:val="18"/>
          <w:szCs w:val="18"/>
        </w:rPr>
      </w:pPr>
      <w:r w:rsidRPr="009374CE">
        <w:rPr>
          <w:rStyle w:val="FootnoteReference"/>
          <w:rFonts w:cs="Arial"/>
          <w:szCs w:val="20"/>
        </w:rPr>
        <w:footnoteRef/>
      </w:r>
      <w:r w:rsidRPr="009374CE">
        <w:rPr>
          <w:rFonts w:cs="Arial"/>
          <w:szCs w:val="20"/>
        </w:rPr>
        <w:t xml:space="preserve"> </w:t>
      </w:r>
      <w:r w:rsidRPr="009374CE">
        <w:rPr>
          <w:rFonts w:cs="Arial"/>
          <w:sz w:val="18"/>
          <w:szCs w:val="18"/>
        </w:rPr>
        <w:t>Obra</w:t>
      </w:r>
      <w:r w:rsidR="0052044C" w:rsidRPr="009374CE">
        <w:rPr>
          <w:rFonts w:cs="Arial"/>
          <w:sz w:val="18"/>
          <w:szCs w:val="18"/>
        </w:rPr>
        <w:t xml:space="preserve">zac </w:t>
      </w:r>
      <w:r w:rsidR="00C32940" w:rsidRPr="009374CE">
        <w:rPr>
          <w:rFonts w:cs="Arial"/>
          <w:sz w:val="18"/>
          <w:szCs w:val="18"/>
        </w:rPr>
        <w:t>n</w:t>
      </w:r>
      <w:r w:rsidR="0052044C" w:rsidRPr="009374CE">
        <w:rPr>
          <w:rFonts w:cs="Arial"/>
          <w:sz w:val="18"/>
          <w:szCs w:val="18"/>
        </w:rPr>
        <w:t>ajav</w:t>
      </w:r>
      <w:r w:rsidR="00C32940" w:rsidRPr="009374CE">
        <w:rPr>
          <w:rFonts w:cs="Arial"/>
          <w:sz w:val="18"/>
          <w:szCs w:val="18"/>
        </w:rPr>
        <w:t>e</w:t>
      </w:r>
      <w:r w:rsidR="0052044C" w:rsidRPr="009374CE">
        <w:rPr>
          <w:rFonts w:cs="Arial"/>
          <w:sz w:val="18"/>
          <w:szCs w:val="18"/>
        </w:rPr>
        <w:t xml:space="preserve"> ulaganja</w:t>
      </w:r>
      <w:r w:rsidR="007925C2" w:rsidRPr="009374CE">
        <w:rPr>
          <w:rFonts w:cs="Arial"/>
          <w:sz w:val="18"/>
          <w:szCs w:val="18"/>
        </w:rPr>
        <w:t xml:space="preserve"> i</w:t>
      </w:r>
      <w:r w:rsidRPr="009374CE">
        <w:rPr>
          <w:rFonts w:cs="Arial"/>
          <w:sz w:val="18"/>
          <w:szCs w:val="18"/>
        </w:rPr>
        <w:t xml:space="preserve"> </w:t>
      </w:r>
      <w:r w:rsidR="0052044C" w:rsidRPr="009374CE">
        <w:rPr>
          <w:rFonts w:cs="Arial"/>
          <w:sz w:val="18"/>
          <w:szCs w:val="18"/>
        </w:rPr>
        <w:t>obrasci zahtjeva za kredit</w:t>
      </w:r>
      <w:r w:rsidRPr="009374CE">
        <w:rPr>
          <w:rFonts w:cs="Arial"/>
          <w:sz w:val="18"/>
          <w:szCs w:val="18"/>
        </w:rPr>
        <w:t xml:space="preserve"> objavljeni su na mrežnim stranicama HBOR-a i dostupni su u HBOR-u na zahtjev.</w:t>
      </w:r>
    </w:p>
  </w:footnote>
  <w:footnote w:id="10">
    <w:p w14:paraId="433ADE21" w14:textId="7822A6B2" w:rsidR="00F0675B" w:rsidRPr="0080477B" w:rsidRDefault="00F0675B" w:rsidP="004A539F">
      <w:pPr>
        <w:pStyle w:val="FootnoteText"/>
        <w:spacing w:before="120"/>
        <w:jc w:val="both"/>
        <w:rPr>
          <w:rFonts w:cs="Arial"/>
          <w:sz w:val="16"/>
          <w:szCs w:val="16"/>
        </w:rPr>
      </w:pPr>
      <w:r w:rsidRPr="009374CE">
        <w:rPr>
          <w:rStyle w:val="FootnoteReference"/>
          <w:rFonts w:cs="Arial"/>
        </w:rPr>
        <w:footnoteRef/>
      </w:r>
      <w:r w:rsidRPr="009374CE">
        <w:rPr>
          <w:rFonts w:cs="Arial"/>
          <w:sz w:val="18"/>
          <w:szCs w:val="18"/>
        </w:rPr>
        <w:t xml:space="preserve"> Poduzetnik je svaki subjekt koji se bavi ekonomskom djelatnošću, bez obzira na njegov pravni oblik. To uključuje, posebno, samozaposlene osobe i obiteljska poduzetnike koji se bave obrtom ili drugim djelatnostima te partnerstva ili udruženja koja se redovno bave ekonomskom djelatnošću.</w:t>
      </w:r>
    </w:p>
  </w:footnote>
  <w:footnote w:id="11">
    <w:p w14:paraId="59159262" w14:textId="4FFDBE80" w:rsidR="00713567" w:rsidRPr="009374CE" w:rsidRDefault="00713567" w:rsidP="00EE3A15">
      <w:pPr>
        <w:pStyle w:val="FootnoteText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r w:rsidR="009374CE" w:rsidRPr="009374CE">
        <w:rPr>
          <w:rFonts w:cs="Arial"/>
          <w:noProof/>
          <w:sz w:val="18"/>
          <w:szCs w:val="18"/>
          <w:vertAlign w:val="superscript"/>
          <w:lang w:bidi="hr-HR"/>
        </w:rPr>
        <w:t xml:space="preserve"> </w:t>
      </w:r>
      <w:r w:rsidRPr="009374CE">
        <w:rPr>
          <w:rFonts w:cs="Arial"/>
          <w:noProof/>
          <w:sz w:val="18"/>
          <w:szCs w:val="18"/>
          <w:lang w:bidi="hr-HR"/>
        </w:rPr>
        <w:t xml:space="preserve">Iznimno, prihvatljivo je ako društvo osnovano radi upravljanja nekretninama unutar grupe povezanih </w:t>
      </w:r>
      <w:r w:rsidR="001D3DDD" w:rsidRPr="009374CE">
        <w:rPr>
          <w:rFonts w:cs="Arial"/>
          <w:noProof/>
          <w:sz w:val="18"/>
          <w:szCs w:val="18"/>
          <w:lang w:bidi="hr-HR"/>
        </w:rPr>
        <w:t>društava</w:t>
      </w:r>
      <w:r w:rsidRPr="009374CE">
        <w:rPr>
          <w:rFonts w:cs="Arial"/>
          <w:noProof/>
          <w:sz w:val="18"/>
          <w:szCs w:val="18"/>
          <w:lang w:bidi="hr-HR"/>
        </w:rPr>
        <w:t xml:space="preserve"> ulaže u nekretnine koje će davati na korištenje (najam) isključivo povezanim </w:t>
      </w:r>
      <w:r w:rsidR="001D3DDD" w:rsidRPr="009374CE">
        <w:rPr>
          <w:rFonts w:cs="Arial"/>
          <w:noProof/>
          <w:sz w:val="18"/>
          <w:szCs w:val="18"/>
          <w:lang w:bidi="hr-HR"/>
        </w:rPr>
        <w:t>društvima</w:t>
      </w:r>
      <w:r w:rsidRPr="009374CE">
        <w:rPr>
          <w:rFonts w:cs="Arial"/>
          <w:noProof/>
          <w:sz w:val="18"/>
          <w:szCs w:val="18"/>
          <w:lang w:bidi="hr-HR"/>
        </w:rPr>
        <w:t xml:space="preserve">, pri čemu djelatnost povezanih </w:t>
      </w:r>
      <w:r w:rsidR="001D3DDD" w:rsidRPr="009374CE">
        <w:rPr>
          <w:rFonts w:cs="Arial"/>
          <w:noProof/>
          <w:sz w:val="18"/>
          <w:szCs w:val="18"/>
          <w:lang w:bidi="hr-HR"/>
        </w:rPr>
        <w:t>društava</w:t>
      </w:r>
      <w:r w:rsidRPr="009374CE">
        <w:rPr>
          <w:rFonts w:cs="Arial"/>
          <w:noProof/>
          <w:sz w:val="18"/>
          <w:szCs w:val="18"/>
          <w:lang w:bidi="hr-HR"/>
        </w:rPr>
        <w:t xml:space="preserve"> nije na listi neprihvatljivih aktivnosti.</w:t>
      </w:r>
    </w:p>
  </w:footnote>
  <w:footnote w:id="12">
    <w:p w14:paraId="6998C337" w14:textId="60C5D2F2" w:rsidR="00FE2B1D" w:rsidRPr="009374CE" w:rsidRDefault="00FE2B1D" w:rsidP="00EE3A15">
      <w:pPr>
        <w:pStyle w:val="FootnoteText"/>
        <w:spacing w:before="120" w:after="120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bookmarkStart w:id="95" w:name="_Hlk114652556"/>
      <w:r w:rsidR="009374CE" w:rsidRPr="009374CE">
        <w:rPr>
          <w:sz w:val="18"/>
          <w:szCs w:val="18"/>
        </w:rPr>
        <w:t xml:space="preserve"> </w:t>
      </w:r>
      <w:r w:rsidRPr="009374CE">
        <w:rPr>
          <w:sz w:val="18"/>
          <w:szCs w:val="18"/>
        </w:rPr>
        <w:t>Ulaganja u projekte energetske učinkovitosti obuhvaćaju isključivo troškove vezane uz podizanje razine energetske učinkovitosti nekretnina, a ne obuhvaćaju troškove stjecanja ili izgradnje nekretnine.</w:t>
      </w:r>
      <w:bookmarkEnd w:id="95"/>
    </w:p>
  </w:footnote>
  <w:footnote w:id="13">
    <w:p w14:paraId="6686AFF1" w14:textId="097175EE" w:rsidR="001D3DDD" w:rsidRPr="009374CE" w:rsidRDefault="00A34612" w:rsidP="00EE3A15">
      <w:pPr>
        <w:pStyle w:val="FootnoteText"/>
        <w:jc w:val="both"/>
        <w:rPr>
          <w:rFonts w:eastAsia="Times New Roman" w:cs="Arial"/>
          <w:sz w:val="18"/>
          <w:szCs w:val="18"/>
          <w:lang w:eastAsia="hr-HR"/>
        </w:rPr>
      </w:pPr>
      <w:r w:rsidRPr="009374CE">
        <w:rPr>
          <w:rStyle w:val="FootnoteReference"/>
        </w:rPr>
        <w:footnoteRef/>
      </w:r>
      <w:r w:rsidR="009374CE" w:rsidRPr="009374CE">
        <w:t xml:space="preserve"> </w:t>
      </w:r>
      <w:r w:rsidRPr="009374CE">
        <w:rPr>
          <w:sz w:val="18"/>
          <w:szCs w:val="18"/>
        </w:rPr>
        <w:t xml:space="preserve">Iznimno, </w:t>
      </w:r>
      <w:r w:rsidR="001D3DDD" w:rsidRPr="009374CE">
        <w:rPr>
          <w:rFonts w:eastAsia="Times New Roman" w:cs="Arial"/>
          <w:sz w:val="18"/>
          <w:szCs w:val="18"/>
          <w:lang w:eastAsia="hr-HR"/>
        </w:rPr>
        <w:t xml:space="preserve">HBOR može razmotriti </w:t>
      </w:r>
      <w:r w:rsidR="004F7361" w:rsidRPr="009374CE">
        <w:rPr>
          <w:rFonts w:eastAsia="Times New Roman" w:cs="Arial"/>
          <w:sz w:val="18"/>
          <w:szCs w:val="18"/>
          <w:lang w:eastAsia="hr-HR"/>
        </w:rPr>
        <w:t>kreditiranje</w:t>
      </w:r>
      <w:r w:rsidR="001D3DDD" w:rsidRPr="009374CE">
        <w:rPr>
          <w:rFonts w:eastAsia="Times New Roman" w:cs="Arial"/>
          <w:sz w:val="18"/>
          <w:szCs w:val="18"/>
          <w:lang w:eastAsia="hr-HR"/>
        </w:rPr>
        <w:t xml:space="preserve"> kupnje poslovnih udjela ako se radi o transakciji kojom izvoznik registriran u RH kupuje udjele inozemnog društva radi širenja i internacionalizacije poslovanja u domeni svoje pretežite djelatnosti</w:t>
      </w:r>
      <w:r w:rsidR="006350A4" w:rsidRPr="009374CE">
        <w:rPr>
          <w:rFonts w:eastAsia="Times New Roman" w:cs="Arial"/>
          <w:sz w:val="18"/>
          <w:szCs w:val="18"/>
          <w:lang w:eastAsia="hr-HR"/>
        </w:rPr>
        <w:t>,</w:t>
      </w:r>
      <w:r w:rsidR="001D3DDD" w:rsidRPr="009374CE">
        <w:rPr>
          <w:rFonts w:eastAsia="Times New Roman" w:cs="Arial"/>
          <w:sz w:val="18"/>
          <w:szCs w:val="18"/>
          <w:lang w:eastAsia="hr-HR"/>
        </w:rPr>
        <w:t xml:space="preserve"> pri čemu</w:t>
      </w:r>
      <w:r w:rsidR="00F460A3" w:rsidRPr="009374CE">
        <w:rPr>
          <w:rFonts w:eastAsia="Times New Roman" w:cs="Arial"/>
          <w:sz w:val="18"/>
          <w:szCs w:val="18"/>
          <w:lang w:eastAsia="hr-HR"/>
        </w:rPr>
        <w:t xml:space="preserve"> </w:t>
      </w:r>
      <w:r w:rsidR="009E02FC" w:rsidRPr="009374CE">
        <w:rPr>
          <w:rFonts w:eastAsia="Times New Roman" w:cs="Arial"/>
          <w:sz w:val="18"/>
          <w:szCs w:val="18"/>
          <w:lang w:eastAsia="hr-HR"/>
        </w:rPr>
        <w:t xml:space="preserve">se procjena prihvatljivosti kod izravnog kreditiranja </w:t>
      </w:r>
      <w:r w:rsidR="00B03C75" w:rsidRPr="009374CE">
        <w:rPr>
          <w:rFonts w:eastAsia="Times New Roman" w:cs="Arial"/>
          <w:sz w:val="18"/>
          <w:szCs w:val="18"/>
          <w:lang w:eastAsia="hr-HR"/>
        </w:rPr>
        <w:t xml:space="preserve">prvenstveno </w:t>
      </w:r>
      <w:r w:rsidR="009E02FC" w:rsidRPr="009374CE">
        <w:rPr>
          <w:rFonts w:eastAsia="Times New Roman" w:cs="Arial"/>
          <w:sz w:val="18"/>
          <w:szCs w:val="18"/>
          <w:lang w:eastAsia="hr-HR"/>
        </w:rPr>
        <w:t>temelji na bonitetu izvoznika</w:t>
      </w:r>
      <w:r w:rsidR="001D3DDD" w:rsidRPr="009374CE">
        <w:rPr>
          <w:rFonts w:eastAsia="Times New Roman" w:cs="Arial"/>
          <w:sz w:val="18"/>
          <w:szCs w:val="18"/>
          <w:lang w:eastAsia="hr-HR"/>
        </w:rPr>
        <w:t>.</w:t>
      </w:r>
    </w:p>
    <w:p w14:paraId="4D922E73" w14:textId="20189DA2" w:rsidR="00533C32" w:rsidRPr="00A72449" w:rsidRDefault="001D3DDD" w:rsidP="009374CE">
      <w:pPr>
        <w:jc w:val="both"/>
        <w:rPr>
          <w:sz w:val="18"/>
          <w:szCs w:val="18"/>
        </w:rPr>
      </w:pPr>
      <w:r w:rsidRPr="009374CE">
        <w:rPr>
          <w:rFonts w:cs="Arial"/>
          <w:sz w:val="18"/>
          <w:szCs w:val="18"/>
        </w:rPr>
        <w:t xml:space="preserve">Nije prihvatljiva kupnja </w:t>
      </w:r>
      <w:r w:rsidR="009E02FC" w:rsidRPr="009374CE">
        <w:rPr>
          <w:rFonts w:cs="Arial"/>
          <w:sz w:val="18"/>
          <w:szCs w:val="18"/>
        </w:rPr>
        <w:t xml:space="preserve">poslovnog </w:t>
      </w:r>
      <w:r w:rsidRPr="009374CE">
        <w:rPr>
          <w:rFonts w:cs="Arial"/>
          <w:sz w:val="18"/>
          <w:szCs w:val="18"/>
        </w:rPr>
        <w:t>udjela</w:t>
      </w:r>
      <w:r w:rsidR="00996568" w:rsidRPr="009374CE">
        <w:rPr>
          <w:rFonts w:cs="Arial"/>
          <w:sz w:val="18"/>
          <w:szCs w:val="18"/>
        </w:rPr>
        <w:t xml:space="preserve"> </w:t>
      </w:r>
      <w:r w:rsidR="009E02FC" w:rsidRPr="009374CE">
        <w:rPr>
          <w:rFonts w:cs="Arial"/>
          <w:sz w:val="18"/>
          <w:szCs w:val="18"/>
        </w:rPr>
        <w:t>od vlasnički povezane osobe</w:t>
      </w:r>
      <w:r w:rsidR="00996568" w:rsidRPr="009374CE">
        <w:rPr>
          <w:rFonts w:cs="Arial"/>
          <w:sz w:val="18"/>
          <w:szCs w:val="18"/>
        </w:rPr>
        <w:t xml:space="preserve">, niti kupnja poslovnog udjela </w:t>
      </w:r>
      <w:r w:rsidRPr="009374CE">
        <w:rPr>
          <w:rFonts w:cs="Arial"/>
          <w:sz w:val="18"/>
          <w:szCs w:val="18"/>
        </w:rPr>
        <w:t>u društvu čije je sjedište u: - državi ili području protiv kojega ili protiv čije vlade su usmjereni programi sankcija koje provode relevantna nadležna tijela; - državi koja se smatra offshore financijskim centrom. Navedeno uključuje, ali se ne ograničava na: - države koje financiraju ili podržavaju terorističke aktivnosti ili unutar kojih djeluju terorističke organizacije; - države koje se nalaze na EU-ovom popisu nekooperativnih jurisdikcija u porezne svrhe.</w:t>
      </w:r>
    </w:p>
  </w:footnote>
  <w:footnote w:id="14">
    <w:p w14:paraId="736ABD70" w14:textId="488B0E55" w:rsidR="00A76DEB" w:rsidRPr="009374CE" w:rsidRDefault="00A76DEB" w:rsidP="003E6B2A">
      <w:pPr>
        <w:pStyle w:val="FootnoteText"/>
        <w:spacing w:before="120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r w:rsidRPr="009374CE">
        <w:rPr>
          <w:rStyle w:val="FootnoteReference"/>
        </w:rPr>
        <w:t xml:space="preserve"> </w:t>
      </w:r>
      <w:r w:rsidR="009374CE" w:rsidRPr="009374CE">
        <w:t xml:space="preserve"> </w:t>
      </w:r>
      <w:r w:rsidRPr="009374CE">
        <w:rPr>
          <w:rStyle w:val="FootnoteReference"/>
          <w:sz w:val="18"/>
          <w:szCs w:val="18"/>
          <w:vertAlign w:val="baseline"/>
        </w:rPr>
        <w:t xml:space="preserve">Iznimno, prihvatljiva su ulaganja u nekretnine koje nisu u vlasništvu korisnika kredita u slučaju difuznih i integralnih hotela i/ili ako se radi o zemljištu odnosno objektu koje se koristi </w:t>
      </w:r>
      <w:r w:rsidR="00714A7A" w:rsidRPr="009374CE">
        <w:rPr>
          <w:rStyle w:val="FootnoteReference"/>
          <w:sz w:val="18"/>
          <w:szCs w:val="18"/>
          <w:vertAlign w:val="baseline"/>
        </w:rPr>
        <w:t>n</w:t>
      </w:r>
      <w:r w:rsidR="00714A7A" w:rsidRPr="009374CE">
        <w:rPr>
          <w:sz w:val="18"/>
          <w:szCs w:val="18"/>
        </w:rPr>
        <w:t>a temelju</w:t>
      </w:r>
      <w:r w:rsidR="00714A7A" w:rsidRPr="009374CE">
        <w:rPr>
          <w:rStyle w:val="FootnoteReference"/>
          <w:sz w:val="18"/>
          <w:szCs w:val="18"/>
          <w:vertAlign w:val="baseline"/>
        </w:rPr>
        <w:t xml:space="preserve"> </w:t>
      </w:r>
      <w:r w:rsidRPr="009374CE">
        <w:rPr>
          <w:rStyle w:val="FootnoteReference"/>
          <w:sz w:val="18"/>
          <w:szCs w:val="18"/>
          <w:vertAlign w:val="baseline"/>
        </w:rPr>
        <w:t>ugovora o koncesiji odnosno pravu građenja, zakupu ili najmu, s tim da razdoblje koncesije, zakupa ili najma ne može biti kraće od roka otplate kredita.</w:t>
      </w:r>
    </w:p>
  </w:footnote>
  <w:footnote w:id="15">
    <w:p w14:paraId="36679505" w14:textId="19B19C29" w:rsidR="00B07671" w:rsidRPr="009374CE" w:rsidRDefault="00A76DEB" w:rsidP="00AE1C4C">
      <w:pPr>
        <w:pStyle w:val="FootnoteText"/>
        <w:spacing w:before="120"/>
        <w:jc w:val="both"/>
        <w:rPr>
          <w:sz w:val="18"/>
          <w:szCs w:val="18"/>
        </w:rPr>
      </w:pPr>
      <w:r w:rsidRPr="009374CE">
        <w:rPr>
          <w:rStyle w:val="FootnoteReference"/>
        </w:rPr>
        <w:footnoteRef/>
      </w:r>
      <w:r w:rsidRPr="009374CE">
        <w:rPr>
          <w:rStyle w:val="FootnoteReference"/>
        </w:rPr>
        <w:t xml:space="preserve"> </w:t>
      </w:r>
      <w:r w:rsidR="009374CE">
        <w:rPr>
          <w:sz w:val="18"/>
          <w:szCs w:val="18"/>
        </w:rPr>
        <w:t xml:space="preserve"> </w:t>
      </w:r>
      <w:r w:rsidRPr="009374CE">
        <w:rPr>
          <w:rStyle w:val="FootnoteReference"/>
          <w:sz w:val="18"/>
          <w:szCs w:val="18"/>
          <w:vertAlign w:val="baseline"/>
        </w:rPr>
        <w:t>Iznimno, prihvatljiv</w:t>
      </w:r>
      <w:r w:rsidR="00AE1C4C" w:rsidRPr="009374CE">
        <w:rPr>
          <w:rStyle w:val="FootnoteReference"/>
          <w:sz w:val="18"/>
          <w:szCs w:val="18"/>
          <w:vertAlign w:val="baseline"/>
        </w:rPr>
        <w:t>o</w:t>
      </w:r>
      <w:r w:rsidR="00AE1C4C" w:rsidRPr="009374CE">
        <w:rPr>
          <w:sz w:val="18"/>
          <w:szCs w:val="18"/>
        </w:rPr>
        <w:t xml:space="preserve"> je financiranje obrtnih sredstava za trgovačke djelatnosti:</w:t>
      </w:r>
    </w:p>
    <w:p w14:paraId="5CAB071E" w14:textId="6DF95537" w:rsidR="00B07671" w:rsidRPr="009374CE" w:rsidRDefault="00A76DEB" w:rsidP="00D760BE">
      <w:pPr>
        <w:pStyle w:val="FootnoteText"/>
        <w:numPr>
          <w:ilvl w:val="0"/>
          <w:numId w:val="15"/>
        </w:numPr>
        <w:ind w:left="714" w:hanging="357"/>
        <w:jc w:val="both"/>
        <w:rPr>
          <w:rStyle w:val="FootnoteReference"/>
          <w:sz w:val="18"/>
          <w:szCs w:val="18"/>
          <w:vertAlign w:val="baseline"/>
        </w:rPr>
      </w:pPr>
      <w:r w:rsidRPr="009374CE">
        <w:rPr>
          <w:rStyle w:val="FootnoteReference"/>
          <w:sz w:val="18"/>
          <w:szCs w:val="18"/>
          <w:vertAlign w:val="baseline"/>
        </w:rPr>
        <w:t>poslovnih subjekata koji se bave otkupom poljoprivredne proizvodnje i/ili opskrbom poljoprivrednih proizvođača repromaterijalom, sjemenom i sl.</w:t>
      </w:r>
      <w:r w:rsidR="00B07671" w:rsidRPr="009374CE">
        <w:rPr>
          <w:rStyle w:val="FootnoteReference"/>
          <w:sz w:val="18"/>
          <w:szCs w:val="18"/>
          <w:vertAlign w:val="baseline"/>
        </w:rPr>
        <w:t>;</w:t>
      </w:r>
    </w:p>
    <w:p w14:paraId="236ADB3C" w14:textId="7302FFB1" w:rsidR="00B07671" w:rsidRPr="009374CE" w:rsidRDefault="00A76DEB" w:rsidP="00617691">
      <w:pPr>
        <w:pStyle w:val="FootnoteText"/>
        <w:numPr>
          <w:ilvl w:val="0"/>
          <w:numId w:val="15"/>
        </w:numPr>
        <w:jc w:val="both"/>
        <w:rPr>
          <w:sz w:val="18"/>
          <w:szCs w:val="18"/>
        </w:rPr>
      </w:pPr>
      <w:r w:rsidRPr="009374CE">
        <w:rPr>
          <w:rStyle w:val="FootnoteReference"/>
          <w:sz w:val="18"/>
          <w:szCs w:val="18"/>
          <w:vertAlign w:val="baseline"/>
        </w:rPr>
        <w:t>veletrgovin</w:t>
      </w:r>
      <w:r w:rsidR="00353820" w:rsidRPr="009374CE">
        <w:rPr>
          <w:sz w:val="18"/>
          <w:szCs w:val="18"/>
        </w:rPr>
        <w:t>e</w:t>
      </w:r>
      <w:r w:rsidRPr="009374CE">
        <w:rPr>
          <w:rStyle w:val="FootnoteReference"/>
          <w:sz w:val="18"/>
          <w:szCs w:val="18"/>
          <w:vertAlign w:val="baseline"/>
        </w:rPr>
        <w:t xml:space="preserve"> kada je ista važan dio lanca opskrbe u prerađivačkoj industriji, ribarstvu i turističkoj djelatnosti</w:t>
      </w:r>
      <w:r w:rsidR="006E1EE8" w:rsidRPr="009374CE">
        <w:rPr>
          <w:sz w:val="18"/>
          <w:szCs w:val="18"/>
        </w:rPr>
        <w:t>;</w:t>
      </w:r>
    </w:p>
    <w:p w14:paraId="242C3C64" w14:textId="7D43FF7E" w:rsidR="006E1EE8" w:rsidRPr="009374CE" w:rsidRDefault="006E1EE8" w:rsidP="00617691">
      <w:pPr>
        <w:pStyle w:val="FootnoteText"/>
        <w:numPr>
          <w:ilvl w:val="0"/>
          <w:numId w:val="15"/>
        </w:numPr>
        <w:jc w:val="both"/>
        <w:rPr>
          <w:sz w:val="18"/>
          <w:szCs w:val="18"/>
        </w:rPr>
      </w:pPr>
      <w:r w:rsidRPr="009374CE">
        <w:rPr>
          <w:sz w:val="18"/>
          <w:szCs w:val="18"/>
        </w:rPr>
        <w:t>poslovnih subjekata kod kojih se značajan dio poslovanja odnosi i na proizvodnju, preradu, doradu proizvoda i sl. i/ili na usluge prerade, dorade proizvoda i sl.</w:t>
      </w:r>
      <w:r w:rsidR="00C076C3" w:rsidRPr="009374CE">
        <w:rPr>
          <w:sz w:val="18"/>
          <w:szCs w:val="18"/>
        </w:rPr>
        <w:t xml:space="preserve"> (najmanje 30% prihoda</w:t>
      </w:r>
      <w:r w:rsidR="008D7DF6" w:rsidRPr="009374CE">
        <w:rPr>
          <w:sz w:val="18"/>
          <w:szCs w:val="18"/>
        </w:rPr>
        <w:t>/primitaka</w:t>
      </w:r>
      <w:r w:rsidR="00C076C3" w:rsidRPr="009374CE">
        <w:rPr>
          <w:sz w:val="18"/>
          <w:szCs w:val="18"/>
        </w:rPr>
        <w:t xml:space="preserve"> se odnosi na navedene djelatnosti, a što se može utvrditi temeljem strukture prihoda</w:t>
      </w:r>
      <w:r w:rsidR="008D7DF6" w:rsidRPr="009374CE">
        <w:rPr>
          <w:sz w:val="18"/>
          <w:szCs w:val="18"/>
        </w:rPr>
        <w:t>/primitaka</w:t>
      </w:r>
      <w:r w:rsidR="00C076C3" w:rsidRPr="009374CE">
        <w:rPr>
          <w:sz w:val="18"/>
          <w:szCs w:val="18"/>
        </w:rPr>
        <w:t xml:space="preserve"> poslovnog subjekta prema djelatnostima za prethodnu poslovnu godinu)</w:t>
      </w:r>
      <w:r w:rsidR="00944175" w:rsidRPr="009374CE">
        <w:rPr>
          <w:sz w:val="18"/>
          <w:szCs w:val="18"/>
        </w:rPr>
        <w:t>;</w:t>
      </w:r>
    </w:p>
    <w:p w14:paraId="346F35BC" w14:textId="1DCF7251" w:rsidR="00944175" w:rsidRPr="009374CE" w:rsidRDefault="00944175" w:rsidP="00617691">
      <w:pPr>
        <w:pStyle w:val="FootnoteText"/>
        <w:numPr>
          <w:ilvl w:val="0"/>
          <w:numId w:val="15"/>
        </w:numPr>
        <w:jc w:val="both"/>
        <w:rPr>
          <w:sz w:val="18"/>
          <w:szCs w:val="18"/>
        </w:rPr>
      </w:pPr>
      <w:r w:rsidRPr="009374CE">
        <w:rPr>
          <w:sz w:val="18"/>
          <w:szCs w:val="18"/>
        </w:rPr>
        <w:t>ako se radi o kreditu putem poslovne banke ili o kreditu iz sredstava okvirnog ugovora o kreditu s poslovnom bankom ili leasing društvom.</w:t>
      </w:r>
    </w:p>
  </w:footnote>
  <w:footnote w:id="16">
    <w:p w14:paraId="5698CED3" w14:textId="4DC09D19" w:rsidR="005C1C15" w:rsidRPr="009374CE" w:rsidRDefault="005C1C15" w:rsidP="003E6B2A">
      <w:pPr>
        <w:pStyle w:val="FootnoteText"/>
        <w:spacing w:before="120"/>
        <w:jc w:val="both"/>
        <w:rPr>
          <w:rStyle w:val="FootnoteReference"/>
          <w:sz w:val="18"/>
          <w:szCs w:val="18"/>
          <w:vertAlign w:val="baseline"/>
        </w:rPr>
      </w:pPr>
      <w:r w:rsidRPr="009374CE">
        <w:rPr>
          <w:rStyle w:val="FootnoteReference"/>
        </w:rPr>
        <w:footnoteRef/>
      </w:r>
      <w:r w:rsidRPr="009374CE">
        <w:rPr>
          <w:rStyle w:val="FootnoteReference"/>
        </w:rPr>
        <w:t xml:space="preserve"> </w:t>
      </w:r>
      <w:r w:rsidR="009374CE">
        <w:rPr>
          <w:sz w:val="18"/>
          <w:szCs w:val="18"/>
        </w:rPr>
        <w:t xml:space="preserve"> </w:t>
      </w:r>
      <w:r w:rsidRPr="009374CE">
        <w:rPr>
          <w:rStyle w:val="FootnoteReference"/>
          <w:sz w:val="18"/>
          <w:szCs w:val="18"/>
          <w:vertAlign w:val="baseline"/>
        </w:rPr>
        <w:t>Ograničenje se odnosi na apartmane, sobe za iznajmljivanje i kuće za odmor prema Pravilniku o razvrstavanju i kategorizaciji ugostiteljskih objekata iz skupine Ostali ugostiteljski objekti za smještaj.</w:t>
      </w:r>
    </w:p>
    <w:p w14:paraId="3F436293" w14:textId="77777777" w:rsidR="005C1C15" w:rsidRPr="009374CE" w:rsidRDefault="005C1C15" w:rsidP="003E6B2A">
      <w:pPr>
        <w:pStyle w:val="FootnoteText"/>
        <w:jc w:val="both"/>
        <w:rPr>
          <w:rStyle w:val="FootnoteReference"/>
          <w:sz w:val="18"/>
          <w:szCs w:val="18"/>
          <w:vertAlign w:val="baseline"/>
        </w:rPr>
      </w:pPr>
      <w:r w:rsidRPr="009374CE">
        <w:rPr>
          <w:rStyle w:val="FootnoteReference"/>
          <w:sz w:val="18"/>
          <w:szCs w:val="18"/>
          <w:vertAlign w:val="baseline"/>
        </w:rPr>
        <w:t>Iznimno, prihvatljiva su ulaganja u apartmane, sobe za iznajmljivanje i kuće za odmor:</w:t>
      </w:r>
    </w:p>
    <w:p w14:paraId="172966CA" w14:textId="77777777" w:rsidR="005C1C15" w:rsidRPr="009374CE" w:rsidRDefault="005C1C15" w:rsidP="00F80C55">
      <w:pPr>
        <w:pStyle w:val="FootnoteText"/>
        <w:numPr>
          <w:ilvl w:val="0"/>
          <w:numId w:val="17"/>
        </w:numPr>
        <w:jc w:val="both"/>
        <w:rPr>
          <w:rStyle w:val="FootnoteReference"/>
          <w:sz w:val="18"/>
          <w:szCs w:val="18"/>
          <w:vertAlign w:val="baseline"/>
        </w:rPr>
      </w:pPr>
      <w:r w:rsidRPr="009374CE">
        <w:rPr>
          <w:rStyle w:val="FootnoteReference"/>
          <w:sz w:val="18"/>
          <w:szCs w:val="18"/>
          <w:vertAlign w:val="baseline"/>
        </w:rPr>
        <w:t>na potpomognutim područjima - JLS I., II., III. i IV. skupine ili brdsko-planinskim područjima ili otocima prve skupine;</w:t>
      </w:r>
    </w:p>
    <w:p w14:paraId="2A590E81" w14:textId="77777777" w:rsidR="005C1C15" w:rsidRPr="009374CE" w:rsidRDefault="005C1C15" w:rsidP="00F80C55">
      <w:pPr>
        <w:pStyle w:val="FootnoteText"/>
        <w:numPr>
          <w:ilvl w:val="0"/>
          <w:numId w:val="17"/>
        </w:numPr>
        <w:jc w:val="both"/>
        <w:rPr>
          <w:rStyle w:val="FootnoteReference"/>
          <w:sz w:val="18"/>
          <w:szCs w:val="18"/>
          <w:vertAlign w:val="baseline"/>
        </w:rPr>
      </w:pPr>
      <w:r w:rsidRPr="009374CE">
        <w:rPr>
          <w:rStyle w:val="FootnoteReference"/>
          <w:sz w:val="18"/>
          <w:szCs w:val="18"/>
          <w:vertAlign w:val="baseline"/>
        </w:rPr>
        <w:t>ako se radi o tradicijskim zgradama (pojedinačne zgrade koje su zaštićene kao kulturna dobra, zgrade koje se nalaze u zonama naselja koja su zaštićena kao kulturna dobra ili se nalaze u kontaktnim zonama zaštićenih zona, te sve druge pojedinačne zgrade koje se grade/rekonstruiraju u skladu s posebnim uvjetima konzervatora glede tradicijske gradnje, pri čemu se pod pojmom konzervatora smatra Konzervatorski odjel Ministarstva kulture ili drugo javno pravno tijelo nadležno za zaštitu kulturnih dobara).</w:t>
      </w:r>
    </w:p>
    <w:p w14:paraId="109F3488" w14:textId="0A058D7D" w:rsidR="005C1C15" w:rsidRPr="009374CE" w:rsidRDefault="005C1C15" w:rsidP="003E6B2A">
      <w:pPr>
        <w:pStyle w:val="FootnoteText"/>
        <w:jc w:val="both"/>
        <w:rPr>
          <w:sz w:val="18"/>
          <w:szCs w:val="18"/>
        </w:rPr>
      </w:pPr>
      <w:r w:rsidRPr="009374CE">
        <w:rPr>
          <w:rStyle w:val="FootnoteReference"/>
          <w:sz w:val="18"/>
          <w:szCs w:val="18"/>
          <w:vertAlign w:val="baseline"/>
        </w:rPr>
        <w:t>Za turističke apartmane prema Pravilniku o razvrstavanju, kategorizaciji i posebnim standardima ugostiteljskih objekata iz skupine Hoteli, nema ograničenja u kreditiranju.</w:t>
      </w:r>
    </w:p>
  </w:footnote>
  <w:footnote w:id="17">
    <w:p w14:paraId="35E90978" w14:textId="3011E20B" w:rsidR="00CF185E" w:rsidRDefault="00CF185E" w:rsidP="00884DED">
      <w:pPr>
        <w:pStyle w:val="FootnoteText"/>
        <w:spacing w:before="120"/>
        <w:jc w:val="both"/>
      </w:pPr>
      <w:r w:rsidRPr="009374CE">
        <w:rPr>
          <w:rStyle w:val="FootnoteReference"/>
        </w:rPr>
        <w:footnoteRef/>
      </w:r>
      <w:r w:rsidRPr="009374CE">
        <w:rPr>
          <w:rStyle w:val="FootnoteReference"/>
          <w:sz w:val="18"/>
          <w:szCs w:val="18"/>
        </w:rPr>
        <w:t xml:space="preserve"> </w:t>
      </w:r>
      <w:r w:rsidRPr="009374CE">
        <w:rPr>
          <w:rStyle w:val="FootnoteReference"/>
          <w:sz w:val="18"/>
          <w:szCs w:val="18"/>
          <w:vertAlign w:val="baseline"/>
        </w:rPr>
        <w:t>Iznimno, prihvatljiva su investicijska ulaganja obiteljskih domova koji posluju najmanje godinu dana u svrhu prilagodbe i preustroja u ustanovu sukladno Zakonu o socijalnoj skrbi.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BF241" w14:textId="784538C9" w:rsidR="006372FA" w:rsidRDefault="00655642">
    <w:pPr>
      <w:pStyle w:val="Header"/>
      <w:tabs>
        <w:tab w:val="clear" w:pos="4536"/>
        <w:tab w:val="clear" w:pos="9072"/>
        <w:tab w:val="center" w:pos="4394"/>
      </w:tabs>
      <w:jc w:val="both"/>
    </w:pPr>
    <w:r w:rsidRPr="00D84EB7">
      <w:rPr>
        <w:noProof/>
      </w:rPr>
      <w:drawing>
        <wp:inline distT="0" distB="0" distL="0" distR="0" wp14:anchorId="12A0726E" wp14:editId="30529FBB">
          <wp:extent cx="2157639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3023" cy="677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2A93DE0"/>
    <w:multiLevelType w:val="hybridMultilevel"/>
    <w:tmpl w:val="0B22963A"/>
    <w:lvl w:ilvl="0" w:tplc="474ECDD6">
      <w:start w:val="1"/>
      <w:numFmt w:val="decimal"/>
      <w:pStyle w:val="Stavci"/>
      <w:lvlText w:val="(%1)"/>
      <w:lvlJc w:val="left"/>
      <w:pPr>
        <w:ind w:left="360" w:hanging="360"/>
      </w:pPr>
      <w:rPr>
        <w:rFonts w:hint="default"/>
        <w:b w:val="0"/>
      </w:rPr>
    </w:lvl>
    <w:lvl w:ilvl="1" w:tplc="C7E8B4AE">
      <w:start w:val="1"/>
      <w:numFmt w:val="lowerRoman"/>
      <w:lvlText w:val="%2)"/>
      <w:lvlJc w:val="left"/>
      <w:pPr>
        <w:ind w:left="1080" w:hanging="360"/>
      </w:pPr>
      <w:rPr>
        <w:rFonts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7D25D7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182BCB"/>
    <w:multiLevelType w:val="hybridMultilevel"/>
    <w:tmpl w:val="2A2E7192"/>
    <w:lvl w:ilvl="0" w:tplc="580647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7155C"/>
    <w:multiLevelType w:val="hybridMultilevel"/>
    <w:tmpl w:val="1D56CBDE"/>
    <w:lvl w:ilvl="0" w:tplc="109800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A71C84"/>
    <w:multiLevelType w:val="hybridMultilevel"/>
    <w:tmpl w:val="18CCCEF2"/>
    <w:lvl w:ilvl="0" w:tplc="2906580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16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EB3656"/>
    <w:multiLevelType w:val="hybridMultilevel"/>
    <w:tmpl w:val="CC763F64"/>
    <w:lvl w:ilvl="0" w:tplc="5596DB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C343E2"/>
    <w:multiLevelType w:val="hybridMultilevel"/>
    <w:tmpl w:val="64161272"/>
    <w:lvl w:ilvl="0" w:tplc="FDEA88E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3B4D65"/>
    <w:multiLevelType w:val="hybridMultilevel"/>
    <w:tmpl w:val="1CB219B4"/>
    <w:lvl w:ilvl="0" w:tplc="ED5680D2">
      <w:start w:val="1"/>
      <w:numFmt w:val="lowerRoman"/>
      <w:lvlText w:val="(%1)"/>
      <w:lvlJc w:val="left"/>
      <w:pPr>
        <w:ind w:left="1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8" w15:restartNumberingAfterBreak="0">
    <w:nsid w:val="1D2C4510"/>
    <w:multiLevelType w:val="hybridMultilevel"/>
    <w:tmpl w:val="CC763F64"/>
    <w:lvl w:ilvl="0" w:tplc="5596DB24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6E1927"/>
    <w:multiLevelType w:val="hybridMultilevel"/>
    <w:tmpl w:val="5AA4B480"/>
    <w:lvl w:ilvl="0" w:tplc="1098004E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BB4D70"/>
    <w:multiLevelType w:val="hybridMultilevel"/>
    <w:tmpl w:val="1CB219B4"/>
    <w:lvl w:ilvl="0" w:tplc="ED5680D2">
      <w:start w:val="1"/>
      <w:numFmt w:val="lowerRoman"/>
      <w:lvlText w:val="(%1)"/>
      <w:lvlJc w:val="left"/>
      <w:pPr>
        <w:ind w:left="1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200" w:hanging="360"/>
      </w:pPr>
    </w:lvl>
    <w:lvl w:ilvl="2" w:tplc="041A001B" w:tentative="1">
      <w:start w:val="1"/>
      <w:numFmt w:val="lowerRoman"/>
      <w:lvlText w:val="%3."/>
      <w:lvlJc w:val="right"/>
      <w:pPr>
        <w:ind w:left="2920" w:hanging="180"/>
      </w:pPr>
    </w:lvl>
    <w:lvl w:ilvl="3" w:tplc="041A000F" w:tentative="1">
      <w:start w:val="1"/>
      <w:numFmt w:val="decimal"/>
      <w:lvlText w:val="%4."/>
      <w:lvlJc w:val="left"/>
      <w:pPr>
        <w:ind w:left="3640" w:hanging="360"/>
      </w:pPr>
    </w:lvl>
    <w:lvl w:ilvl="4" w:tplc="041A0019" w:tentative="1">
      <w:start w:val="1"/>
      <w:numFmt w:val="lowerLetter"/>
      <w:lvlText w:val="%5."/>
      <w:lvlJc w:val="left"/>
      <w:pPr>
        <w:ind w:left="4360" w:hanging="360"/>
      </w:pPr>
    </w:lvl>
    <w:lvl w:ilvl="5" w:tplc="041A001B" w:tentative="1">
      <w:start w:val="1"/>
      <w:numFmt w:val="lowerRoman"/>
      <w:lvlText w:val="%6."/>
      <w:lvlJc w:val="right"/>
      <w:pPr>
        <w:ind w:left="5080" w:hanging="180"/>
      </w:pPr>
    </w:lvl>
    <w:lvl w:ilvl="6" w:tplc="041A000F" w:tentative="1">
      <w:start w:val="1"/>
      <w:numFmt w:val="decimal"/>
      <w:lvlText w:val="%7."/>
      <w:lvlJc w:val="left"/>
      <w:pPr>
        <w:ind w:left="5800" w:hanging="360"/>
      </w:pPr>
    </w:lvl>
    <w:lvl w:ilvl="7" w:tplc="041A0019" w:tentative="1">
      <w:start w:val="1"/>
      <w:numFmt w:val="lowerLetter"/>
      <w:lvlText w:val="%8."/>
      <w:lvlJc w:val="left"/>
      <w:pPr>
        <w:ind w:left="6520" w:hanging="360"/>
      </w:pPr>
    </w:lvl>
    <w:lvl w:ilvl="8" w:tplc="041A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11" w15:restartNumberingAfterBreak="0">
    <w:nsid w:val="2A00755F"/>
    <w:multiLevelType w:val="hybridMultilevel"/>
    <w:tmpl w:val="D74860FC"/>
    <w:lvl w:ilvl="0" w:tplc="04D246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1035B1"/>
    <w:multiLevelType w:val="hybridMultilevel"/>
    <w:tmpl w:val="16D8C4AC"/>
    <w:lvl w:ilvl="0" w:tplc="BB6E18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26488"/>
    <w:multiLevelType w:val="hybridMultilevel"/>
    <w:tmpl w:val="1F661674"/>
    <w:lvl w:ilvl="0" w:tplc="214E28E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448"/>
        </w:tabs>
        <w:ind w:left="448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1168"/>
        </w:tabs>
        <w:ind w:left="1168" w:hanging="180"/>
      </w:pPr>
    </w:lvl>
    <w:lvl w:ilvl="3" w:tplc="041A000F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2608"/>
        </w:tabs>
        <w:ind w:left="2608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3328"/>
        </w:tabs>
        <w:ind w:left="3328" w:hanging="180"/>
      </w:pPr>
    </w:lvl>
    <w:lvl w:ilvl="6" w:tplc="041A000F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4768"/>
        </w:tabs>
        <w:ind w:left="4768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5488"/>
        </w:tabs>
        <w:ind w:left="5488" w:hanging="180"/>
      </w:pPr>
    </w:lvl>
  </w:abstractNum>
  <w:abstractNum w:abstractNumId="14" w15:restartNumberingAfterBreak="0">
    <w:nsid w:val="3F362B2E"/>
    <w:multiLevelType w:val="hybridMultilevel"/>
    <w:tmpl w:val="9F04CB34"/>
    <w:lvl w:ilvl="0" w:tplc="6DCE1632">
      <w:start w:val="3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9F6959"/>
    <w:multiLevelType w:val="multilevel"/>
    <w:tmpl w:val="F4922B24"/>
    <w:lvl w:ilvl="0">
      <w:start w:val="1"/>
      <w:numFmt w:val="upperRoman"/>
      <w:pStyle w:val="HeadingA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u w:val="none"/>
      </w:rPr>
    </w:lvl>
  </w:abstractNum>
  <w:abstractNum w:abstractNumId="16" w15:restartNumberingAfterBreak="0">
    <w:nsid w:val="4BE54246"/>
    <w:multiLevelType w:val="multilevel"/>
    <w:tmpl w:val="54304A6C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C2450D7"/>
    <w:multiLevelType w:val="hybridMultilevel"/>
    <w:tmpl w:val="25C41A3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0414C"/>
    <w:multiLevelType w:val="multilevel"/>
    <w:tmpl w:val="573613F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sz w:val="22"/>
      </w:rPr>
    </w:lvl>
    <w:lvl w:ilvl="1">
      <w:start w:val="1"/>
      <w:numFmt w:val="decimalZero"/>
      <w:pStyle w:val="Heading2"/>
      <w:lvlText w:val="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9" w15:restartNumberingAfterBreak="0">
    <w:nsid w:val="53982AB4"/>
    <w:multiLevelType w:val="hybridMultilevel"/>
    <w:tmpl w:val="4B5466B6"/>
    <w:lvl w:ilvl="0" w:tplc="ED5680D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F97F4D"/>
    <w:multiLevelType w:val="hybridMultilevel"/>
    <w:tmpl w:val="679428CA"/>
    <w:lvl w:ilvl="0" w:tplc="04D246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2457F4"/>
    <w:multiLevelType w:val="multilevel"/>
    <w:tmpl w:val="860E4BCA"/>
    <w:lvl w:ilvl="0">
      <w:start w:val="1"/>
      <w:numFmt w:val="decimal"/>
      <w:lvlText w:val="(%1)"/>
      <w:lvlJc w:val="left"/>
      <w:rPr>
        <w:rFonts w:hint="default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  <w:lang w:val="hr-HR" w:eastAsia="hr-HR" w:bidi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89B0A2F"/>
    <w:multiLevelType w:val="multilevel"/>
    <w:tmpl w:val="0B80B090"/>
    <w:lvl w:ilvl="0">
      <w:start w:val="1"/>
      <w:numFmt w:val="decimal"/>
      <w:lvlText w:val="%1."/>
      <w:lvlJc w:val="left"/>
      <w:pPr>
        <w:ind w:left="360" w:hanging="360"/>
      </w:pPr>
      <w:rPr>
        <w:color w:val="2F5496" w:themeColor="accent1" w:themeShade="BF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/>
        <w:color w:val="2F5496" w:themeColor="accent1" w:themeShade="BF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5082838"/>
    <w:multiLevelType w:val="hybridMultilevel"/>
    <w:tmpl w:val="4B5466B6"/>
    <w:lvl w:ilvl="0" w:tplc="ED5680D2">
      <w:start w:val="1"/>
      <w:numFmt w:val="lowerRoman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528A1"/>
    <w:multiLevelType w:val="hybridMultilevel"/>
    <w:tmpl w:val="0228351C"/>
    <w:lvl w:ilvl="0" w:tplc="5974438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C308F5"/>
    <w:multiLevelType w:val="hybridMultilevel"/>
    <w:tmpl w:val="CC763F64"/>
    <w:lvl w:ilvl="0" w:tplc="5596DB24">
      <w:start w:val="1"/>
      <w:numFmt w:val="lowerRoman"/>
      <w:lvlText w:val="(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EE51F56"/>
    <w:multiLevelType w:val="hybridMultilevel"/>
    <w:tmpl w:val="9E129F72"/>
    <w:lvl w:ilvl="0" w:tplc="041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71E8163A"/>
    <w:multiLevelType w:val="hybridMultilevel"/>
    <w:tmpl w:val="AEB01656"/>
    <w:lvl w:ilvl="0" w:tplc="BB6E184E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061B44"/>
    <w:multiLevelType w:val="hybridMultilevel"/>
    <w:tmpl w:val="F898A540"/>
    <w:lvl w:ilvl="0" w:tplc="04D246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B373DB"/>
    <w:multiLevelType w:val="hybridMultilevel"/>
    <w:tmpl w:val="CBA02F9A"/>
    <w:lvl w:ilvl="0" w:tplc="0A6400FA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8646813">
    <w:abstractNumId w:val="18"/>
  </w:num>
  <w:num w:numId="2" w16cid:durableId="332298668">
    <w:abstractNumId w:val="15"/>
  </w:num>
  <w:num w:numId="3" w16cid:durableId="879897725">
    <w:abstractNumId w:val="21"/>
  </w:num>
  <w:num w:numId="4" w16cid:durableId="1500999760">
    <w:abstractNumId w:val="22"/>
  </w:num>
  <w:num w:numId="5" w16cid:durableId="453210759">
    <w:abstractNumId w:val="10"/>
  </w:num>
  <w:num w:numId="6" w16cid:durableId="991520545">
    <w:abstractNumId w:val="7"/>
  </w:num>
  <w:num w:numId="7" w16cid:durableId="418064710">
    <w:abstractNumId w:val="1"/>
  </w:num>
  <w:num w:numId="8" w16cid:durableId="1254045998">
    <w:abstractNumId w:val="12"/>
  </w:num>
  <w:num w:numId="9" w16cid:durableId="2072802390">
    <w:abstractNumId w:val="5"/>
  </w:num>
  <w:num w:numId="10" w16cid:durableId="951321213">
    <w:abstractNumId w:val="25"/>
  </w:num>
  <w:num w:numId="11" w16cid:durableId="1034501005">
    <w:abstractNumId w:val="8"/>
  </w:num>
  <w:num w:numId="12" w16cid:durableId="2010252291">
    <w:abstractNumId w:val="16"/>
  </w:num>
  <w:num w:numId="13" w16cid:durableId="453334909">
    <w:abstractNumId w:val="27"/>
  </w:num>
  <w:num w:numId="14" w16cid:durableId="539511210">
    <w:abstractNumId w:val="23"/>
  </w:num>
  <w:num w:numId="15" w16cid:durableId="1442912710">
    <w:abstractNumId w:val="19"/>
  </w:num>
  <w:num w:numId="16" w16cid:durableId="693002126">
    <w:abstractNumId w:val="15"/>
  </w:num>
  <w:num w:numId="17" w16cid:durableId="241529381">
    <w:abstractNumId w:val="29"/>
  </w:num>
  <w:num w:numId="18" w16cid:durableId="1759864069">
    <w:abstractNumId w:val="15"/>
  </w:num>
  <w:num w:numId="19" w16cid:durableId="926578682">
    <w:abstractNumId w:val="2"/>
  </w:num>
  <w:num w:numId="20" w16cid:durableId="2132435827">
    <w:abstractNumId w:val="6"/>
  </w:num>
  <w:num w:numId="21" w16cid:durableId="1833256109">
    <w:abstractNumId w:val="24"/>
  </w:num>
  <w:num w:numId="22" w16cid:durableId="1878854628">
    <w:abstractNumId w:val="26"/>
  </w:num>
  <w:num w:numId="23" w16cid:durableId="995231540">
    <w:abstractNumId w:val="13"/>
  </w:num>
  <w:num w:numId="24" w16cid:durableId="1200046809">
    <w:abstractNumId w:val="15"/>
  </w:num>
  <w:num w:numId="25" w16cid:durableId="835464818">
    <w:abstractNumId w:val="3"/>
  </w:num>
  <w:num w:numId="26" w16cid:durableId="988900394">
    <w:abstractNumId w:val="17"/>
  </w:num>
  <w:num w:numId="27" w16cid:durableId="1214653680">
    <w:abstractNumId w:val="9"/>
  </w:num>
  <w:num w:numId="28" w16cid:durableId="925262514">
    <w:abstractNumId w:val="28"/>
  </w:num>
  <w:num w:numId="29" w16cid:durableId="261887097">
    <w:abstractNumId w:val="20"/>
  </w:num>
  <w:num w:numId="30" w16cid:durableId="471141150">
    <w:abstractNumId w:val="14"/>
  </w:num>
  <w:num w:numId="31" w16cid:durableId="534930191">
    <w:abstractNumId w:val="4"/>
  </w:num>
  <w:num w:numId="32" w16cid:durableId="451674396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2FA"/>
    <w:rsid w:val="000010CE"/>
    <w:rsid w:val="00002DF0"/>
    <w:rsid w:val="00002EEC"/>
    <w:rsid w:val="00005405"/>
    <w:rsid w:val="000101CF"/>
    <w:rsid w:val="000112AC"/>
    <w:rsid w:val="000219C8"/>
    <w:rsid w:val="00022129"/>
    <w:rsid w:val="00033658"/>
    <w:rsid w:val="000357CC"/>
    <w:rsid w:val="0003677B"/>
    <w:rsid w:val="0004145C"/>
    <w:rsid w:val="0004145E"/>
    <w:rsid w:val="000414C1"/>
    <w:rsid w:val="00046985"/>
    <w:rsid w:val="00056118"/>
    <w:rsid w:val="000567D0"/>
    <w:rsid w:val="00057C28"/>
    <w:rsid w:val="00060BD1"/>
    <w:rsid w:val="000610A3"/>
    <w:rsid w:val="00063CC0"/>
    <w:rsid w:val="00064D66"/>
    <w:rsid w:val="000653C7"/>
    <w:rsid w:val="00065BA2"/>
    <w:rsid w:val="00066110"/>
    <w:rsid w:val="00066CFC"/>
    <w:rsid w:val="00072DD2"/>
    <w:rsid w:val="000764C0"/>
    <w:rsid w:val="000801D9"/>
    <w:rsid w:val="00080AB8"/>
    <w:rsid w:val="00081648"/>
    <w:rsid w:val="00081E08"/>
    <w:rsid w:val="00082BA0"/>
    <w:rsid w:val="0008451D"/>
    <w:rsid w:val="00085402"/>
    <w:rsid w:val="00087201"/>
    <w:rsid w:val="00091C96"/>
    <w:rsid w:val="00092398"/>
    <w:rsid w:val="000929D7"/>
    <w:rsid w:val="000A11B2"/>
    <w:rsid w:val="000A17AB"/>
    <w:rsid w:val="000A27C0"/>
    <w:rsid w:val="000A2DA9"/>
    <w:rsid w:val="000A3360"/>
    <w:rsid w:val="000A54F6"/>
    <w:rsid w:val="000B1F6C"/>
    <w:rsid w:val="000B2C05"/>
    <w:rsid w:val="000B3A02"/>
    <w:rsid w:val="000B4FD1"/>
    <w:rsid w:val="000B7699"/>
    <w:rsid w:val="000C102F"/>
    <w:rsid w:val="000C12D7"/>
    <w:rsid w:val="000C1ED6"/>
    <w:rsid w:val="000C54D4"/>
    <w:rsid w:val="000C6BB0"/>
    <w:rsid w:val="000C7371"/>
    <w:rsid w:val="000C77EA"/>
    <w:rsid w:val="000C798A"/>
    <w:rsid w:val="000D220C"/>
    <w:rsid w:val="000D360E"/>
    <w:rsid w:val="000D4163"/>
    <w:rsid w:val="000D433D"/>
    <w:rsid w:val="000D6088"/>
    <w:rsid w:val="000D6272"/>
    <w:rsid w:val="000D6F9B"/>
    <w:rsid w:val="000D78CD"/>
    <w:rsid w:val="000E0BD7"/>
    <w:rsid w:val="000E1544"/>
    <w:rsid w:val="000E2146"/>
    <w:rsid w:val="000E4F10"/>
    <w:rsid w:val="000E71F0"/>
    <w:rsid w:val="000F0A58"/>
    <w:rsid w:val="000F10D5"/>
    <w:rsid w:val="000F1430"/>
    <w:rsid w:val="000F1BB6"/>
    <w:rsid w:val="000F1D77"/>
    <w:rsid w:val="000F5149"/>
    <w:rsid w:val="00102571"/>
    <w:rsid w:val="00105420"/>
    <w:rsid w:val="0010606F"/>
    <w:rsid w:val="00106A24"/>
    <w:rsid w:val="0011161B"/>
    <w:rsid w:val="00113BFC"/>
    <w:rsid w:val="00120240"/>
    <w:rsid w:val="0013175B"/>
    <w:rsid w:val="00133A79"/>
    <w:rsid w:val="00134070"/>
    <w:rsid w:val="001340C5"/>
    <w:rsid w:val="001350D1"/>
    <w:rsid w:val="001377AC"/>
    <w:rsid w:val="00142A15"/>
    <w:rsid w:val="001434F8"/>
    <w:rsid w:val="00143ECA"/>
    <w:rsid w:val="001469F3"/>
    <w:rsid w:val="00151872"/>
    <w:rsid w:val="00152141"/>
    <w:rsid w:val="001522FF"/>
    <w:rsid w:val="0015394B"/>
    <w:rsid w:val="00155B17"/>
    <w:rsid w:val="001564F1"/>
    <w:rsid w:val="00160F77"/>
    <w:rsid w:val="00162463"/>
    <w:rsid w:val="001636A9"/>
    <w:rsid w:val="00165847"/>
    <w:rsid w:val="00166FFF"/>
    <w:rsid w:val="0017180E"/>
    <w:rsid w:val="001757A5"/>
    <w:rsid w:val="00175AA0"/>
    <w:rsid w:val="00176EFD"/>
    <w:rsid w:val="001778A4"/>
    <w:rsid w:val="00180AB2"/>
    <w:rsid w:val="00186872"/>
    <w:rsid w:val="00186A66"/>
    <w:rsid w:val="00187BB0"/>
    <w:rsid w:val="001946A8"/>
    <w:rsid w:val="001947DC"/>
    <w:rsid w:val="001953B2"/>
    <w:rsid w:val="0019715E"/>
    <w:rsid w:val="001A4F54"/>
    <w:rsid w:val="001B04C1"/>
    <w:rsid w:val="001B2D65"/>
    <w:rsid w:val="001B3993"/>
    <w:rsid w:val="001B729B"/>
    <w:rsid w:val="001B7A44"/>
    <w:rsid w:val="001C1807"/>
    <w:rsid w:val="001C7F47"/>
    <w:rsid w:val="001D1EA3"/>
    <w:rsid w:val="001D2ABF"/>
    <w:rsid w:val="001D374C"/>
    <w:rsid w:val="001D3DDD"/>
    <w:rsid w:val="001D3E9D"/>
    <w:rsid w:val="001D59A0"/>
    <w:rsid w:val="001D6414"/>
    <w:rsid w:val="001D6B7B"/>
    <w:rsid w:val="001D7FCF"/>
    <w:rsid w:val="001E014E"/>
    <w:rsid w:val="001E1D57"/>
    <w:rsid w:val="001E70F4"/>
    <w:rsid w:val="001F22B6"/>
    <w:rsid w:val="001F48B9"/>
    <w:rsid w:val="001F51C9"/>
    <w:rsid w:val="00200929"/>
    <w:rsid w:val="00201364"/>
    <w:rsid w:val="00204968"/>
    <w:rsid w:val="00205829"/>
    <w:rsid w:val="00206E4A"/>
    <w:rsid w:val="00211494"/>
    <w:rsid w:val="00212CDA"/>
    <w:rsid w:val="00214221"/>
    <w:rsid w:val="00214BD8"/>
    <w:rsid w:val="00221BCC"/>
    <w:rsid w:val="00222FB5"/>
    <w:rsid w:val="00223639"/>
    <w:rsid w:val="00227A87"/>
    <w:rsid w:val="002330CA"/>
    <w:rsid w:val="002355BE"/>
    <w:rsid w:val="00235E06"/>
    <w:rsid w:val="00236160"/>
    <w:rsid w:val="0023695A"/>
    <w:rsid w:val="00236AA6"/>
    <w:rsid w:val="00241242"/>
    <w:rsid w:val="00244C53"/>
    <w:rsid w:val="00244DA8"/>
    <w:rsid w:val="0024595E"/>
    <w:rsid w:val="00247A8C"/>
    <w:rsid w:val="002504F0"/>
    <w:rsid w:val="00250E93"/>
    <w:rsid w:val="00251B2D"/>
    <w:rsid w:val="00253317"/>
    <w:rsid w:val="002600F3"/>
    <w:rsid w:val="002602C8"/>
    <w:rsid w:val="0026083E"/>
    <w:rsid w:val="0026283D"/>
    <w:rsid w:val="00263062"/>
    <w:rsid w:val="00263DE9"/>
    <w:rsid w:val="0026482E"/>
    <w:rsid w:val="0026616A"/>
    <w:rsid w:val="00267C2C"/>
    <w:rsid w:val="002707B6"/>
    <w:rsid w:val="00270F8C"/>
    <w:rsid w:val="002730AC"/>
    <w:rsid w:val="00273564"/>
    <w:rsid w:val="00274497"/>
    <w:rsid w:val="00275BF5"/>
    <w:rsid w:val="002805F2"/>
    <w:rsid w:val="00280BDF"/>
    <w:rsid w:val="00280C96"/>
    <w:rsid w:val="00280DDF"/>
    <w:rsid w:val="00284C12"/>
    <w:rsid w:val="00290683"/>
    <w:rsid w:val="00290BC6"/>
    <w:rsid w:val="0029175D"/>
    <w:rsid w:val="00293F13"/>
    <w:rsid w:val="002A17FA"/>
    <w:rsid w:val="002A3C57"/>
    <w:rsid w:val="002B13A8"/>
    <w:rsid w:val="002B2E23"/>
    <w:rsid w:val="002B4822"/>
    <w:rsid w:val="002C3264"/>
    <w:rsid w:val="002C406B"/>
    <w:rsid w:val="002C5EB0"/>
    <w:rsid w:val="002C5ECC"/>
    <w:rsid w:val="002C628B"/>
    <w:rsid w:val="002C63D6"/>
    <w:rsid w:val="002D12E0"/>
    <w:rsid w:val="002D5601"/>
    <w:rsid w:val="002D59EE"/>
    <w:rsid w:val="002E060F"/>
    <w:rsid w:val="002E1395"/>
    <w:rsid w:val="002E27E7"/>
    <w:rsid w:val="002E5E44"/>
    <w:rsid w:val="002E60E0"/>
    <w:rsid w:val="002E72AF"/>
    <w:rsid w:val="002F055E"/>
    <w:rsid w:val="002F3600"/>
    <w:rsid w:val="002F36D0"/>
    <w:rsid w:val="002F37B0"/>
    <w:rsid w:val="002F6781"/>
    <w:rsid w:val="002F7767"/>
    <w:rsid w:val="002F77E7"/>
    <w:rsid w:val="00300B80"/>
    <w:rsid w:val="003027F3"/>
    <w:rsid w:val="00303730"/>
    <w:rsid w:val="00307038"/>
    <w:rsid w:val="00307316"/>
    <w:rsid w:val="00310B8C"/>
    <w:rsid w:val="00312133"/>
    <w:rsid w:val="003123FD"/>
    <w:rsid w:val="00313D89"/>
    <w:rsid w:val="0031455F"/>
    <w:rsid w:val="00322D9B"/>
    <w:rsid w:val="003240B0"/>
    <w:rsid w:val="00327841"/>
    <w:rsid w:val="00327938"/>
    <w:rsid w:val="003313C2"/>
    <w:rsid w:val="003316D9"/>
    <w:rsid w:val="00331E25"/>
    <w:rsid w:val="00332662"/>
    <w:rsid w:val="003340E7"/>
    <w:rsid w:val="0033595A"/>
    <w:rsid w:val="0033615B"/>
    <w:rsid w:val="00340C77"/>
    <w:rsid w:val="003452C1"/>
    <w:rsid w:val="00350C51"/>
    <w:rsid w:val="00351566"/>
    <w:rsid w:val="00353820"/>
    <w:rsid w:val="00353A75"/>
    <w:rsid w:val="003573AE"/>
    <w:rsid w:val="00357570"/>
    <w:rsid w:val="00357C14"/>
    <w:rsid w:val="0036058F"/>
    <w:rsid w:val="00364544"/>
    <w:rsid w:val="00364B38"/>
    <w:rsid w:val="00364BD8"/>
    <w:rsid w:val="00366AC6"/>
    <w:rsid w:val="0036729D"/>
    <w:rsid w:val="00370249"/>
    <w:rsid w:val="00371523"/>
    <w:rsid w:val="00371C4D"/>
    <w:rsid w:val="0037216F"/>
    <w:rsid w:val="003769DA"/>
    <w:rsid w:val="0038006B"/>
    <w:rsid w:val="00384108"/>
    <w:rsid w:val="0038413B"/>
    <w:rsid w:val="003862A9"/>
    <w:rsid w:val="00387908"/>
    <w:rsid w:val="00390C5F"/>
    <w:rsid w:val="00390FC8"/>
    <w:rsid w:val="003917CA"/>
    <w:rsid w:val="003929E1"/>
    <w:rsid w:val="003A0864"/>
    <w:rsid w:val="003A1A8C"/>
    <w:rsid w:val="003A48D0"/>
    <w:rsid w:val="003A544E"/>
    <w:rsid w:val="003A57E3"/>
    <w:rsid w:val="003B0288"/>
    <w:rsid w:val="003B1D4C"/>
    <w:rsid w:val="003B2ECF"/>
    <w:rsid w:val="003B30BA"/>
    <w:rsid w:val="003B5762"/>
    <w:rsid w:val="003C0998"/>
    <w:rsid w:val="003C1432"/>
    <w:rsid w:val="003C74C8"/>
    <w:rsid w:val="003D4B5E"/>
    <w:rsid w:val="003D7732"/>
    <w:rsid w:val="003D7DD4"/>
    <w:rsid w:val="003E09C0"/>
    <w:rsid w:val="003E491E"/>
    <w:rsid w:val="003E6B2A"/>
    <w:rsid w:val="003E715C"/>
    <w:rsid w:val="003E7487"/>
    <w:rsid w:val="003E784C"/>
    <w:rsid w:val="003F430C"/>
    <w:rsid w:val="003F4DE7"/>
    <w:rsid w:val="003F4F72"/>
    <w:rsid w:val="003F63DE"/>
    <w:rsid w:val="003F6DF7"/>
    <w:rsid w:val="00401186"/>
    <w:rsid w:val="00402746"/>
    <w:rsid w:val="00403730"/>
    <w:rsid w:val="004038C8"/>
    <w:rsid w:val="00403A52"/>
    <w:rsid w:val="00403B4F"/>
    <w:rsid w:val="00404479"/>
    <w:rsid w:val="00407F4A"/>
    <w:rsid w:val="00411567"/>
    <w:rsid w:val="00413AB6"/>
    <w:rsid w:val="004160D7"/>
    <w:rsid w:val="004174E1"/>
    <w:rsid w:val="00417E81"/>
    <w:rsid w:val="004218E1"/>
    <w:rsid w:val="00423190"/>
    <w:rsid w:val="00423A6B"/>
    <w:rsid w:val="00424130"/>
    <w:rsid w:val="00431269"/>
    <w:rsid w:val="0043127E"/>
    <w:rsid w:val="0043296D"/>
    <w:rsid w:val="0043370B"/>
    <w:rsid w:val="00433FB5"/>
    <w:rsid w:val="0043475C"/>
    <w:rsid w:val="00436960"/>
    <w:rsid w:val="00436A30"/>
    <w:rsid w:val="004537EA"/>
    <w:rsid w:val="0045406E"/>
    <w:rsid w:val="00454B43"/>
    <w:rsid w:val="004559ED"/>
    <w:rsid w:val="00457AD1"/>
    <w:rsid w:val="00463797"/>
    <w:rsid w:val="00467FC0"/>
    <w:rsid w:val="004701A6"/>
    <w:rsid w:val="004718C4"/>
    <w:rsid w:val="00472A59"/>
    <w:rsid w:val="00472ABE"/>
    <w:rsid w:val="004733B3"/>
    <w:rsid w:val="00473716"/>
    <w:rsid w:val="00474622"/>
    <w:rsid w:val="00474794"/>
    <w:rsid w:val="00475C3B"/>
    <w:rsid w:val="00481D85"/>
    <w:rsid w:val="00482F11"/>
    <w:rsid w:val="004869CD"/>
    <w:rsid w:val="00490063"/>
    <w:rsid w:val="00490A2C"/>
    <w:rsid w:val="0049109F"/>
    <w:rsid w:val="00493E72"/>
    <w:rsid w:val="004941EE"/>
    <w:rsid w:val="004947DF"/>
    <w:rsid w:val="0049493F"/>
    <w:rsid w:val="00494CC0"/>
    <w:rsid w:val="004A1CC9"/>
    <w:rsid w:val="004A209F"/>
    <w:rsid w:val="004A488A"/>
    <w:rsid w:val="004A4EF9"/>
    <w:rsid w:val="004A539F"/>
    <w:rsid w:val="004A73BA"/>
    <w:rsid w:val="004B13B0"/>
    <w:rsid w:val="004B2686"/>
    <w:rsid w:val="004B491D"/>
    <w:rsid w:val="004C335A"/>
    <w:rsid w:val="004C3EE8"/>
    <w:rsid w:val="004C5380"/>
    <w:rsid w:val="004C6AF6"/>
    <w:rsid w:val="004C7839"/>
    <w:rsid w:val="004D1D55"/>
    <w:rsid w:val="004D2028"/>
    <w:rsid w:val="004D2E6F"/>
    <w:rsid w:val="004D677B"/>
    <w:rsid w:val="004D6A8D"/>
    <w:rsid w:val="004D7082"/>
    <w:rsid w:val="004E1613"/>
    <w:rsid w:val="004E1DD3"/>
    <w:rsid w:val="004E22CC"/>
    <w:rsid w:val="004E391C"/>
    <w:rsid w:val="004F439D"/>
    <w:rsid w:val="004F69DA"/>
    <w:rsid w:val="004F7361"/>
    <w:rsid w:val="004F7C45"/>
    <w:rsid w:val="0050200C"/>
    <w:rsid w:val="00505284"/>
    <w:rsid w:val="00507305"/>
    <w:rsid w:val="00510075"/>
    <w:rsid w:val="005129BC"/>
    <w:rsid w:val="00513B4B"/>
    <w:rsid w:val="0051405D"/>
    <w:rsid w:val="00515402"/>
    <w:rsid w:val="00516245"/>
    <w:rsid w:val="005164D1"/>
    <w:rsid w:val="0052044C"/>
    <w:rsid w:val="00521D7E"/>
    <w:rsid w:val="00522682"/>
    <w:rsid w:val="00522DC9"/>
    <w:rsid w:val="005256B3"/>
    <w:rsid w:val="0052589D"/>
    <w:rsid w:val="00525A4D"/>
    <w:rsid w:val="00525FB1"/>
    <w:rsid w:val="005261DB"/>
    <w:rsid w:val="005266DB"/>
    <w:rsid w:val="0052783B"/>
    <w:rsid w:val="005320FE"/>
    <w:rsid w:val="00533C32"/>
    <w:rsid w:val="00536EF7"/>
    <w:rsid w:val="00542147"/>
    <w:rsid w:val="00543AAD"/>
    <w:rsid w:val="00544E85"/>
    <w:rsid w:val="00546784"/>
    <w:rsid w:val="0054717D"/>
    <w:rsid w:val="0055568D"/>
    <w:rsid w:val="00555789"/>
    <w:rsid w:val="00557413"/>
    <w:rsid w:val="00560749"/>
    <w:rsid w:val="0056096D"/>
    <w:rsid w:val="00561539"/>
    <w:rsid w:val="00563544"/>
    <w:rsid w:val="00564B40"/>
    <w:rsid w:val="005676A8"/>
    <w:rsid w:val="005716B9"/>
    <w:rsid w:val="005738DF"/>
    <w:rsid w:val="00573A1A"/>
    <w:rsid w:val="00574765"/>
    <w:rsid w:val="00580BA8"/>
    <w:rsid w:val="005812CD"/>
    <w:rsid w:val="00582B35"/>
    <w:rsid w:val="00592063"/>
    <w:rsid w:val="00593975"/>
    <w:rsid w:val="005957A2"/>
    <w:rsid w:val="00596ABF"/>
    <w:rsid w:val="005A1A06"/>
    <w:rsid w:val="005A4451"/>
    <w:rsid w:val="005A53AD"/>
    <w:rsid w:val="005A63E6"/>
    <w:rsid w:val="005B0F5F"/>
    <w:rsid w:val="005B15ED"/>
    <w:rsid w:val="005B2AF6"/>
    <w:rsid w:val="005C12A6"/>
    <w:rsid w:val="005C1C15"/>
    <w:rsid w:val="005C1CE0"/>
    <w:rsid w:val="005C2E6F"/>
    <w:rsid w:val="005C3321"/>
    <w:rsid w:val="005C55DD"/>
    <w:rsid w:val="005C7052"/>
    <w:rsid w:val="005D02F8"/>
    <w:rsid w:val="005D2824"/>
    <w:rsid w:val="005D47D5"/>
    <w:rsid w:val="005E20B4"/>
    <w:rsid w:val="005E25DF"/>
    <w:rsid w:val="005E542F"/>
    <w:rsid w:val="005E79AD"/>
    <w:rsid w:val="005F1FAE"/>
    <w:rsid w:val="005F2223"/>
    <w:rsid w:val="005F2281"/>
    <w:rsid w:val="005F4A56"/>
    <w:rsid w:val="005F57BD"/>
    <w:rsid w:val="006001FC"/>
    <w:rsid w:val="00601071"/>
    <w:rsid w:val="00601E82"/>
    <w:rsid w:val="00602000"/>
    <w:rsid w:val="00607FAC"/>
    <w:rsid w:val="00610CF5"/>
    <w:rsid w:val="00616F08"/>
    <w:rsid w:val="00617691"/>
    <w:rsid w:val="0061771E"/>
    <w:rsid w:val="006200A0"/>
    <w:rsid w:val="00620616"/>
    <w:rsid w:val="0062092D"/>
    <w:rsid w:val="00621757"/>
    <w:rsid w:val="006221D0"/>
    <w:rsid w:val="0062223D"/>
    <w:rsid w:val="0062401A"/>
    <w:rsid w:val="0062491B"/>
    <w:rsid w:val="00626267"/>
    <w:rsid w:val="00626460"/>
    <w:rsid w:val="00626CBF"/>
    <w:rsid w:val="0062707C"/>
    <w:rsid w:val="0062792A"/>
    <w:rsid w:val="00633A4F"/>
    <w:rsid w:val="00634BAC"/>
    <w:rsid w:val="006350A4"/>
    <w:rsid w:val="00635436"/>
    <w:rsid w:val="006372FA"/>
    <w:rsid w:val="006376A0"/>
    <w:rsid w:val="006407DA"/>
    <w:rsid w:val="00641B96"/>
    <w:rsid w:val="006436C7"/>
    <w:rsid w:val="00645900"/>
    <w:rsid w:val="00646E66"/>
    <w:rsid w:val="0064733B"/>
    <w:rsid w:val="0065039B"/>
    <w:rsid w:val="00650DDD"/>
    <w:rsid w:val="00650E9B"/>
    <w:rsid w:val="00653044"/>
    <w:rsid w:val="00654ABC"/>
    <w:rsid w:val="00654F9A"/>
    <w:rsid w:val="00655642"/>
    <w:rsid w:val="006559E8"/>
    <w:rsid w:val="00655B58"/>
    <w:rsid w:val="00655DC1"/>
    <w:rsid w:val="00656165"/>
    <w:rsid w:val="00657B77"/>
    <w:rsid w:val="00660555"/>
    <w:rsid w:val="0066391A"/>
    <w:rsid w:val="0066500E"/>
    <w:rsid w:val="006650CC"/>
    <w:rsid w:val="00665DBC"/>
    <w:rsid w:val="00670CC5"/>
    <w:rsid w:val="00670E93"/>
    <w:rsid w:val="00671F4C"/>
    <w:rsid w:val="00672F4A"/>
    <w:rsid w:val="00674CD4"/>
    <w:rsid w:val="00676AFE"/>
    <w:rsid w:val="00685744"/>
    <w:rsid w:val="00686C0F"/>
    <w:rsid w:val="00693B3E"/>
    <w:rsid w:val="00693DF3"/>
    <w:rsid w:val="006962F7"/>
    <w:rsid w:val="0069737D"/>
    <w:rsid w:val="00697AF3"/>
    <w:rsid w:val="006A183F"/>
    <w:rsid w:val="006A4675"/>
    <w:rsid w:val="006A6D38"/>
    <w:rsid w:val="006B024D"/>
    <w:rsid w:val="006B028B"/>
    <w:rsid w:val="006B1787"/>
    <w:rsid w:val="006B205A"/>
    <w:rsid w:val="006B38DD"/>
    <w:rsid w:val="006B57F9"/>
    <w:rsid w:val="006B5DFC"/>
    <w:rsid w:val="006B6184"/>
    <w:rsid w:val="006C1205"/>
    <w:rsid w:val="006C15F7"/>
    <w:rsid w:val="006C45D6"/>
    <w:rsid w:val="006C515B"/>
    <w:rsid w:val="006C5E6F"/>
    <w:rsid w:val="006D1589"/>
    <w:rsid w:val="006D7174"/>
    <w:rsid w:val="006D72B7"/>
    <w:rsid w:val="006E001B"/>
    <w:rsid w:val="006E073E"/>
    <w:rsid w:val="006E1EE8"/>
    <w:rsid w:val="006E2B24"/>
    <w:rsid w:val="006E36DB"/>
    <w:rsid w:val="006E5513"/>
    <w:rsid w:val="006E6B88"/>
    <w:rsid w:val="006E7CB5"/>
    <w:rsid w:val="006F5412"/>
    <w:rsid w:val="006F7CE0"/>
    <w:rsid w:val="007011C4"/>
    <w:rsid w:val="0070299E"/>
    <w:rsid w:val="00703085"/>
    <w:rsid w:val="00711102"/>
    <w:rsid w:val="00711307"/>
    <w:rsid w:val="00713567"/>
    <w:rsid w:val="00713F9B"/>
    <w:rsid w:val="00714A7A"/>
    <w:rsid w:val="00716157"/>
    <w:rsid w:val="00716A8E"/>
    <w:rsid w:val="007174C9"/>
    <w:rsid w:val="00717FB8"/>
    <w:rsid w:val="00723D0C"/>
    <w:rsid w:val="0072425A"/>
    <w:rsid w:val="00724A58"/>
    <w:rsid w:val="00731FB8"/>
    <w:rsid w:val="00736D44"/>
    <w:rsid w:val="007428EA"/>
    <w:rsid w:val="007452D6"/>
    <w:rsid w:val="00756D50"/>
    <w:rsid w:val="00764F90"/>
    <w:rsid w:val="00765AE2"/>
    <w:rsid w:val="00766C1C"/>
    <w:rsid w:val="007677F3"/>
    <w:rsid w:val="0077265E"/>
    <w:rsid w:val="00772C8B"/>
    <w:rsid w:val="0077378A"/>
    <w:rsid w:val="00774F2B"/>
    <w:rsid w:val="00780F3F"/>
    <w:rsid w:val="00781E9C"/>
    <w:rsid w:val="0078414A"/>
    <w:rsid w:val="00790D94"/>
    <w:rsid w:val="00791D51"/>
    <w:rsid w:val="007920C1"/>
    <w:rsid w:val="007925C2"/>
    <w:rsid w:val="00792778"/>
    <w:rsid w:val="007962A2"/>
    <w:rsid w:val="00797165"/>
    <w:rsid w:val="007A0C87"/>
    <w:rsid w:val="007A1D92"/>
    <w:rsid w:val="007A2D61"/>
    <w:rsid w:val="007A3249"/>
    <w:rsid w:val="007A3B09"/>
    <w:rsid w:val="007A3BFA"/>
    <w:rsid w:val="007A45DF"/>
    <w:rsid w:val="007A7781"/>
    <w:rsid w:val="007B21C2"/>
    <w:rsid w:val="007B3065"/>
    <w:rsid w:val="007B49A2"/>
    <w:rsid w:val="007C1EDC"/>
    <w:rsid w:val="007C2E54"/>
    <w:rsid w:val="007C336E"/>
    <w:rsid w:val="007C356E"/>
    <w:rsid w:val="007C52C2"/>
    <w:rsid w:val="007C64AE"/>
    <w:rsid w:val="007C6FB9"/>
    <w:rsid w:val="007C77F0"/>
    <w:rsid w:val="007E0F56"/>
    <w:rsid w:val="007E3995"/>
    <w:rsid w:val="007E7194"/>
    <w:rsid w:val="007F3350"/>
    <w:rsid w:val="007F6F16"/>
    <w:rsid w:val="00801C6E"/>
    <w:rsid w:val="00802B10"/>
    <w:rsid w:val="00803BA5"/>
    <w:rsid w:val="0080442B"/>
    <w:rsid w:val="0080477B"/>
    <w:rsid w:val="00805C02"/>
    <w:rsid w:val="00806534"/>
    <w:rsid w:val="00810064"/>
    <w:rsid w:val="008100F7"/>
    <w:rsid w:val="0081089D"/>
    <w:rsid w:val="008145F1"/>
    <w:rsid w:val="008160A8"/>
    <w:rsid w:val="00816C07"/>
    <w:rsid w:val="008207EB"/>
    <w:rsid w:val="00830A77"/>
    <w:rsid w:val="008313C3"/>
    <w:rsid w:val="0083326A"/>
    <w:rsid w:val="008333D1"/>
    <w:rsid w:val="008401B2"/>
    <w:rsid w:val="00841080"/>
    <w:rsid w:val="00841D6B"/>
    <w:rsid w:val="0084371F"/>
    <w:rsid w:val="00844BCC"/>
    <w:rsid w:val="008542FF"/>
    <w:rsid w:val="00856920"/>
    <w:rsid w:val="00857593"/>
    <w:rsid w:val="008634C0"/>
    <w:rsid w:val="00864A8F"/>
    <w:rsid w:val="00864D82"/>
    <w:rsid w:val="0086713F"/>
    <w:rsid w:val="00867876"/>
    <w:rsid w:val="00872DB7"/>
    <w:rsid w:val="00877473"/>
    <w:rsid w:val="00877644"/>
    <w:rsid w:val="00877EF7"/>
    <w:rsid w:val="00881A17"/>
    <w:rsid w:val="00884A83"/>
    <w:rsid w:val="00884DED"/>
    <w:rsid w:val="00885298"/>
    <w:rsid w:val="00886CC8"/>
    <w:rsid w:val="00890C1B"/>
    <w:rsid w:val="008931E2"/>
    <w:rsid w:val="00895443"/>
    <w:rsid w:val="008A0D0E"/>
    <w:rsid w:val="008A1721"/>
    <w:rsid w:val="008A1DF1"/>
    <w:rsid w:val="008A667C"/>
    <w:rsid w:val="008A69A7"/>
    <w:rsid w:val="008B0C12"/>
    <w:rsid w:val="008B0D99"/>
    <w:rsid w:val="008B5176"/>
    <w:rsid w:val="008B7E39"/>
    <w:rsid w:val="008C08FE"/>
    <w:rsid w:val="008C2ED8"/>
    <w:rsid w:val="008C32BF"/>
    <w:rsid w:val="008C3D5A"/>
    <w:rsid w:val="008C4B92"/>
    <w:rsid w:val="008C4F1B"/>
    <w:rsid w:val="008C5313"/>
    <w:rsid w:val="008C6B31"/>
    <w:rsid w:val="008D0F14"/>
    <w:rsid w:val="008D110C"/>
    <w:rsid w:val="008D1421"/>
    <w:rsid w:val="008D148E"/>
    <w:rsid w:val="008D1633"/>
    <w:rsid w:val="008D2872"/>
    <w:rsid w:val="008D3647"/>
    <w:rsid w:val="008D4C64"/>
    <w:rsid w:val="008D7DF6"/>
    <w:rsid w:val="008E02BB"/>
    <w:rsid w:val="008E0D8C"/>
    <w:rsid w:val="008E2423"/>
    <w:rsid w:val="008E2EB4"/>
    <w:rsid w:val="008E3192"/>
    <w:rsid w:val="008E347B"/>
    <w:rsid w:val="008E4230"/>
    <w:rsid w:val="008E62D3"/>
    <w:rsid w:val="008E6551"/>
    <w:rsid w:val="008F0AA0"/>
    <w:rsid w:val="008F10B0"/>
    <w:rsid w:val="009000CE"/>
    <w:rsid w:val="0090488D"/>
    <w:rsid w:val="00910498"/>
    <w:rsid w:val="009111B4"/>
    <w:rsid w:val="00914092"/>
    <w:rsid w:val="00914294"/>
    <w:rsid w:val="00914664"/>
    <w:rsid w:val="0091563D"/>
    <w:rsid w:val="00915DC1"/>
    <w:rsid w:val="00916196"/>
    <w:rsid w:val="00917D80"/>
    <w:rsid w:val="009202A4"/>
    <w:rsid w:val="00922222"/>
    <w:rsid w:val="00923314"/>
    <w:rsid w:val="009246C0"/>
    <w:rsid w:val="00925271"/>
    <w:rsid w:val="009275EB"/>
    <w:rsid w:val="00927780"/>
    <w:rsid w:val="009357A3"/>
    <w:rsid w:val="009374CE"/>
    <w:rsid w:val="0094020A"/>
    <w:rsid w:val="009403E8"/>
    <w:rsid w:val="009408BA"/>
    <w:rsid w:val="00941A73"/>
    <w:rsid w:val="00941CB5"/>
    <w:rsid w:val="00944175"/>
    <w:rsid w:val="00944D29"/>
    <w:rsid w:val="00944E75"/>
    <w:rsid w:val="00953615"/>
    <w:rsid w:val="00954061"/>
    <w:rsid w:val="0095568C"/>
    <w:rsid w:val="00955F3D"/>
    <w:rsid w:val="00956CF4"/>
    <w:rsid w:val="00960C71"/>
    <w:rsid w:val="00964936"/>
    <w:rsid w:val="00964AAD"/>
    <w:rsid w:val="00966EDF"/>
    <w:rsid w:val="009676C4"/>
    <w:rsid w:val="0097168F"/>
    <w:rsid w:val="009731FF"/>
    <w:rsid w:val="0097342C"/>
    <w:rsid w:val="00974B58"/>
    <w:rsid w:val="00976789"/>
    <w:rsid w:val="009769A1"/>
    <w:rsid w:val="00980013"/>
    <w:rsid w:val="0098008F"/>
    <w:rsid w:val="0098306E"/>
    <w:rsid w:val="0098735C"/>
    <w:rsid w:val="009914DC"/>
    <w:rsid w:val="00991F39"/>
    <w:rsid w:val="0099257F"/>
    <w:rsid w:val="00992CE9"/>
    <w:rsid w:val="009938D4"/>
    <w:rsid w:val="00993A0F"/>
    <w:rsid w:val="00993C00"/>
    <w:rsid w:val="00994E55"/>
    <w:rsid w:val="00996568"/>
    <w:rsid w:val="00996FD7"/>
    <w:rsid w:val="00997CED"/>
    <w:rsid w:val="009A005C"/>
    <w:rsid w:val="009A0CB7"/>
    <w:rsid w:val="009A566A"/>
    <w:rsid w:val="009B015E"/>
    <w:rsid w:val="009B25CC"/>
    <w:rsid w:val="009B334F"/>
    <w:rsid w:val="009B4C44"/>
    <w:rsid w:val="009B5282"/>
    <w:rsid w:val="009B543B"/>
    <w:rsid w:val="009B5FD3"/>
    <w:rsid w:val="009B6499"/>
    <w:rsid w:val="009C4642"/>
    <w:rsid w:val="009C6B31"/>
    <w:rsid w:val="009C72A4"/>
    <w:rsid w:val="009D3C6B"/>
    <w:rsid w:val="009D4BB5"/>
    <w:rsid w:val="009E02FC"/>
    <w:rsid w:val="009E06F0"/>
    <w:rsid w:val="009E0A50"/>
    <w:rsid w:val="009E1EAE"/>
    <w:rsid w:val="009E318D"/>
    <w:rsid w:val="009E34FE"/>
    <w:rsid w:val="009E43A3"/>
    <w:rsid w:val="009E65DF"/>
    <w:rsid w:val="009F0815"/>
    <w:rsid w:val="009F2282"/>
    <w:rsid w:val="009F382E"/>
    <w:rsid w:val="009F4061"/>
    <w:rsid w:val="009F62F3"/>
    <w:rsid w:val="009F7254"/>
    <w:rsid w:val="00A00204"/>
    <w:rsid w:val="00A0314E"/>
    <w:rsid w:val="00A04084"/>
    <w:rsid w:val="00A042EA"/>
    <w:rsid w:val="00A05B10"/>
    <w:rsid w:val="00A07534"/>
    <w:rsid w:val="00A07BA0"/>
    <w:rsid w:val="00A222FC"/>
    <w:rsid w:val="00A223F1"/>
    <w:rsid w:val="00A238F8"/>
    <w:rsid w:val="00A27757"/>
    <w:rsid w:val="00A31428"/>
    <w:rsid w:val="00A32DC4"/>
    <w:rsid w:val="00A34612"/>
    <w:rsid w:val="00A34A4F"/>
    <w:rsid w:val="00A34E99"/>
    <w:rsid w:val="00A34F84"/>
    <w:rsid w:val="00A405D7"/>
    <w:rsid w:val="00A5036F"/>
    <w:rsid w:val="00A50553"/>
    <w:rsid w:val="00A50F93"/>
    <w:rsid w:val="00A512E6"/>
    <w:rsid w:val="00A65DB7"/>
    <w:rsid w:val="00A72449"/>
    <w:rsid w:val="00A7487F"/>
    <w:rsid w:val="00A76941"/>
    <w:rsid w:val="00A76DEB"/>
    <w:rsid w:val="00A81267"/>
    <w:rsid w:val="00A85720"/>
    <w:rsid w:val="00A8615A"/>
    <w:rsid w:val="00A87E97"/>
    <w:rsid w:val="00A921F1"/>
    <w:rsid w:val="00A96324"/>
    <w:rsid w:val="00AA0FD0"/>
    <w:rsid w:val="00AA199D"/>
    <w:rsid w:val="00AB0578"/>
    <w:rsid w:val="00AB4820"/>
    <w:rsid w:val="00AB54F6"/>
    <w:rsid w:val="00AC03A9"/>
    <w:rsid w:val="00AC0510"/>
    <w:rsid w:val="00AC0DCC"/>
    <w:rsid w:val="00AC1A92"/>
    <w:rsid w:val="00AC2C8A"/>
    <w:rsid w:val="00AC481F"/>
    <w:rsid w:val="00AC6E19"/>
    <w:rsid w:val="00AC6FF2"/>
    <w:rsid w:val="00AD5098"/>
    <w:rsid w:val="00AD67A1"/>
    <w:rsid w:val="00AE18B6"/>
    <w:rsid w:val="00AE1C4C"/>
    <w:rsid w:val="00AE2B81"/>
    <w:rsid w:val="00AE2DE4"/>
    <w:rsid w:val="00AE3D23"/>
    <w:rsid w:val="00AE4257"/>
    <w:rsid w:val="00AE465B"/>
    <w:rsid w:val="00AE66B1"/>
    <w:rsid w:val="00AE7CBC"/>
    <w:rsid w:val="00AF1030"/>
    <w:rsid w:val="00AF3740"/>
    <w:rsid w:val="00AF55E3"/>
    <w:rsid w:val="00AF6348"/>
    <w:rsid w:val="00AF6755"/>
    <w:rsid w:val="00AF68CA"/>
    <w:rsid w:val="00B01D9B"/>
    <w:rsid w:val="00B03900"/>
    <w:rsid w:val="00B03C75"/>
    <w:rsid w:val="00B07671"/>
    <w:rsid w:val="00B12AF5"/>
    <w:rsid w:val="00B136D7"/>
    <w:rsid w:val="00B20094"/>
    <w:rsid w:val="00B23322"/>
    <w:rsid w:val="00B248CC"/>
    <w:rsid w:val="00B30B5E"/>
    <w:rsid w:val="00B31C9E"/>
    <w:rsid w:val="00B33E89"/>
    <w:rsid w:val="00B340D2"/>
    <w:rsid w:val="00B3411F"/>
    <w:rsid w:val="00B35BE6"/>
    <w:rsid w:val="00B37AA5"/>
    <w:rsid w:val="00B415B0"/>
    <w:rsid w:val="00B54583"/>
    <w:rsid w:val="00B6064D"/>
    <w:rsid w:val="00B60BC0"/>
    <w:rsid w:val="00B70FEE"/>
    <w:rsid w:val="00B826C4"/>
    <w:rsid w:val="00B84EDF"/>
    <w:rsid w:val="00B85349"/>
    <w:rsid w:val="00B85754"/>
    <w:rsid w:val="00B8725D"/>
    <w:rsid w:val="00B91FCC"/>
    <w:rsid w:val="00B94AE2"/>
    <w:rsid w:val="00BA6F66"/>
    <w:rsid w:val="00BB0211"/>
    <w:rsid w:val="00BB093A"/>
    <w:rsid w:val="00BB4488"/>
    <w:rsid w:val="00BB464F"/>
    <w:rsid w:val="00BB77AE"/>
    <w:rsid w:val="00BB77E0"/>
    <w:rsid w:val="00BC111E"/>
    <w:rsid w:val="00BC18D6"/>
    <w:rsid w:val="00BD2AF3"/>
    <w:rsid w:val="00BD4DA5"/>
    <w:rsid w:val="00BD5149"/>
    <w:rsid w:val="00BD5388"/>
    <w:rsid w:val="00BD6E02"/>
    <w:rsid w:val="00BE0DF5"/>
    <w:rsid w:val="00BF11EC"/>
    <w:rsid w:val="00BF2260"/>
    <w:rsid w:val="00BF42EE"/>
    <w:rsid w:val="00BF4484"/>
    <w:rsid w:val="00BF48BE"/>
    <w:rsid w:val="00BF5480"/>
    <w:rsid w:val="00BF5D65"/>
    <w:rsid w:val="00C054E7"/>
    <w:rsid w:val="00C076C3"/>
    <w:rsid w:val="00C12D89"/>
    <w:rsid w:val="00C142D0"/>
    <w:rsid w:val="00C15630"/>
    <w:rsid w:val="00C17761"/>
    <w:rsid w:val="00C238B3"/>
    <w:rsid w:val="00C23B4C"/>
    <w:rsid w:val="00C23F1E"/>
    <w:rsid w:val="00C32940"/>
    <w:rsid w:val="00C33BA2"/>
    <w:rsid w:val="00C3497E"/>
    <w:rsid w:val="00C34E4C"/>
    <w:rsid w:val="00C40089"/>
    <w:rsid w:val="00C45FD7"/>
    <w:rsid w:val="00C464D6"/>
    <w:rsid w:val="00C47209"/>
    <w:rsid w:val="00C53B05"/>
    <w:rsid w:val="00C5512F"/>
    <w:rsid w:val="00C56A46"/>
    <w:rsid w:val="00C63493"/>
    <w:rsid w:val="00C636EB"/>
    <w:rsid w:val="00C6562E"/>
    <w:rsid w:val="00C65763"/>
    <w:rsid w:val="00C7035D"/>
    <w:rsid w:val="00C703DA"/>
    <w:rsid w:val="00C71355"/>
    <w:rsid w:val="00C71806"/>
    <w:rsid w:val="00C74C4A"/>
    <w:rsid w:val="00C7529D"/>
    <w:rsid w:val="00C771BC"/>
    <w:rsid w:val="00C7775C"/>
    <w:rsid w:val="00C80CA6"/>
    <w:rsid w:val="00C82A01"/>
    <w:rsid w:val="00C878A4"/>
    <w:rsid w:val="00C87B07"/>
    <w:rsid w:val="00C96273"/>
    <w:rsid w:val="00C9695A"/>
    <w:rsid w:val="00CA02C5"/>
    <w:rsid w:val="00CA1262"/>
    <w:rsid w:val="00CA3F65"/>
    <w:rsid w:val="00CA41CD"/>
    <w:rsid w:val="00CA510E"/>
    <w:rsid w:val="00CA7FA8"/>
    <w:rsid w:val="00CB1F0C"/>
    <w:rsid w:val="00CB23F6"/>
    <w:rsid w:val="00CB30BB"/>
    <w:rsid w:val="00CB36FB"/>
    <w:rsid w:val="00CB3BAA"/>
    <w:rsid w:val="00CB505E"/>
    <w:rsid w:val="00CB5784"/>
    <w:rsid w:val="00CC0DFA"/>
    <w:rsid w:val="00CC138F"/>
    <w:rsid w:val="00CC7231"/>
    <w:rsid w:val="00CC79DB"/>
    <w:rsid w:val="00CD0BF5"/>
    <w:rsid w:val="00CD0DEE"/>
    <w:rsid w:val="00CD2DB5"/>
    <w:rsid w:val="00CE0349"/>
    <w:rsid w:val="00CE355F"/>
    <w:rsid w:val="00CE4E69"/>
    <w:rsid w:val="00CE50E7"/>
    <w:rsid w:val="00CE6AFD"/>
    <w:rsid w:val="00CE70DA"/>
    <w:rsid w:val="00CF0D80"/>
    <w:rsid w:val="00CF185E"/>
    <w:rsid w:val="00CF1A10"/>
    <w:rsid w:val="00CF3E9D"/>
    <w:rsid w:val="00CF796E"/>
    <w:rsid w:val="00D00CFD"/>
    <w:rsid w:val="00D0579E"/>
    <w:rsid w:val="00D14322"/>
    <w:rsid w:val="00D143B8"/>
    <w:rsid w:val="00D16853"/>
    <w:rsid w:val="00D219FB"/>
    <w:rsid w:val="00D2306E"/>
    <w:rsid w:val="00D243AF"/>
    <w:rsid w:val="00D24BCC"/>
    <w:rsid w:val="00D31055"/>
    <w:rsid w:val="00D3494D"/>
    <w:rsid w:val="00D34FC1"/>
    <w:rsid w:val="00D4040B"/>
    <w:rsid w:val="00D40ADF"/>
    <w:rsid w:val="00D426DD"/>
    <w:rsid w:val="00D479ED"/>
    <w:rsid w:val="00D5412F"/>
    <w:rsid w:val="00D55F3A"/>
    <w:rsid w:val="00D61B27"/>
    <w:rsid w:val="00D6222D"/>
    <w:rsid w:val="00D62A4E"/>
    <w:rsid w:val="00D64C9D"/>
    <w:rsid w:val="00D65BD3"/>
    <w:rsid w:val="00D7113E"/>
    <w:rsid w:val="00D723F9"/>
    <w:rsid w:val="00D725E3"/>
    <w:rsid w:val="00D73312"/>
    <w:rsid w:val="00D749B4"/>
    <w:rsid w:val="00D74B86"/>
    <w:rsid w:val="00D760BE"/>
    <w:rsid w:val="00D76788"/>
    <w:rsid w:val="00D84371"/>
    <w:rsid w:val="00D91435"/>
    <w:rsid w:val="00D92045"/>
    <w:rsid w:val="00D929CB"/>
    <w:rsid w:val="00D92B30"/>
    <w:rsid w:val="00D9399B"/>
    <w:rsid w:val="00D9786B"/>
    <w:rsid w:val="00DA2C0E"/>
    <w:rsid w:val="00DA45AB"/>
    <w:rsid w:val="00DA4999"/>
    <w:rsid w:val="00DB2275"/>
    <w:rsid w:val="00DB25FD"/>
    <w:rsid w:val="00DB3FB4"/>
    <w:rsid w:val="00DC20BE"/>
    <w:rsid w:val="00DC71ED"/>
    <w:rsid w:val="00DD038E"/>
    <w:rsid w:val="00DD2085"/>
    <w:rsid w:val="00DD67C4"/>
    <w:rsid w:val="00DD7BA2"/>
    <w:rsid w:val="00DF1755"/>
    <w:rsid w:val="00DF4FD2"/>
    <w:rsid w:val="00E00F96"/>
    <w:rsid w:val="00E049C4"/>
    <w:rsid w:val="00E067B2"/>
    <w:rsid w:val="00E11073"/>
    <w:rsid w:val="00E12002"/>
    <w:rsid w:val="00E14C0E"/>
    <w:rsid w:val="00E14DE8"/>
    <w:rsid w:val="00E1788E"/>
    <w:rsid w:val="00E206A1"/>
    <w:rsid w:val="00E212A5"/>
    <w:rsid w:val="00E225A9"/>
    <w:rsid w:val="00E2322A"/>
    <w:rsid w:val="00E23D6C"/>
    <w:rsid w:val="00E24DF2"/>
    <w:rsid w:val="00E26401"/>
    <w:rsid w:val="00E26BA8"/>
    <w:rsid w:val="00E27923"/>
    <w:rsid w:val="00E3349D"/>
    <w:rsid w:val="00E3546A"/>
    <w:rsid w:val="00E37927"/>
    <w:rsid w:val="00E403CC"/>
    <w:rsid w:val="00E40C13"/>
    <w:rsid w:val="00E42A5E"/>
    <w:rsid w:val="00E440F0"/>
    <w:rsid w:val="00E451EA"/>
    <w:rsid w:val="00E46785"/>
    <w:rsid w:val="00E50D02"/>
    <w:rsid w:val="00E5215C"/>
    <w:rsid w:val="00E52EE2"/>
    <w:rsid w:val="00E53BE9"/>
    <w:rsid w:val="00E53CA3"/>
    <w:rsid w:val="00E54B81"/>
    <w:rsid w:val="00E614A0"/>
    <w:rsid w:val="00E618A5"/>
    <w:rsid w:val="00E635A3"/>
    <w:rsid w:val="00E63E8F"/>
    <w:rsid w:val="00E6441E"/>
    <w:rsid w:val="00E65C07"/>
    <w:rsid w:val="00E6765C"/>
    <w:rsid w:val="00E70525"/>
    <w:rsid w:val="00E71C51"/>
    <w:rsid w:val="00E72BA0"/>
    <w:rsid w:val="00E72D72"/>
    <w:rsid w:val="00E73A59"/>
    <w:rsid w:val="00E751A3"/>
    <w:rsid w:val="00E81C32"/>
    <w:rsid w:val="00E82ACE"/>
    <w:rsid w:val="00E836FE"/>
    <w:rsid w:val="00E84C03"/>
    <w:rsid w:val="00E8510D"/>
    <w:rsid w:val="00E86D6E"/>
    <w:rsid w:val="00E9056A"/>
    <w:rsid w:val="00E90E1B"/>
    <w:rsid w:val="00E94667"/>
    <w:rsid w:val="00E96C4D"/>
    <w:rsid w:val="00E9769D"/>
    <w:rsid w:val="00E97BEB"/>
    <w:rsid w:val="00EA0771"/>
    <w:rsid w:val="00EB2E79"/>
    <w:rsid w:val="00EB300A"/>
    <w:rsid w:val="00EB343A"/>
    <w:rsid w:val="00EB4855"/>
    <w:rsid w:val="00EB5C7C"/>
    <w:rsid w:val="00EC5ECF"/>
    <w:rsid w:val="00ED006C"/>
    <w:rsid w:val="00ED048B"/>
    <w:rsid w:val="00ED14B2"/>
    <w:rsid w:val="00ED1902"/>
    <w:rsid w:val="00ED27B8"/>
    <w:rsid w:val="00ED3AD6"/>
    <w:rsid w:val="00ED4465"/>
    <w:rsid w:val="00ED4790"/>
    <w:rsid w:val="00ED5EB9"/>
    <w:rsid w:val="00EE0DEB"/>
    <w:rsid w:val="00EE3A15"/>
    <w:rsid w:val="00EE73E3"/>
    <w:rsid w:val="00EE79F4"/>
    <w:rsid w:val="00EF0850"/>
    <w:rsid w:val="00EF0918"/>
    <w:rsid w:val="00EF115F"/>
    <w:rsid w:val="00EF23DE"/>
    <w:rsid w:val="00EF25E2"/>
    <w:rsid w:val="00EF3877"/>
    <w:rsid w:val="00EF39F6"/>
    <w:rsid w:val="00EF638D"/>
    <w:rsid w:val="00F00B2A"/>
    <w:rsid w:val="00F0179F"/>
    <w:rsid w:val="00F04E47"/>
    <w:rsid w:val="00F059EF"/>
    <w:rsid w:val="00F0675B"/>
    <w:rsid w:val="00F06EC6"/>
    <w:rsid w:val="00F1194E"/>
    <w:rsid w:val="00F11959"/>
    <w:rsid w:val="00F13179"/>
    <w:rsid w:val="00F2034E"/>
    <w:rsid w:val="00F23D7C"/>
    <w:rsid w:val="00F24F69"/>
    <w:rsid w:val="00F32D90"/>
    <w:rsid w:val="00F331DD"/>
    <w:rsid w:val="00F338A0"/>
    <w:rsid w:val="00F33EB9"/>
    <w:rsid w:val="00F34010"/>
    <w:rsid w:val="00F36406"/>
    <w:rsid w:val="00F375D0"/>
    <w:rsid w:val="00F37C3F"/>
    <w:rsid w:val="00F42B95"/>
    <w:rsid w:val="00F43C74"/>
    <w:rsid w:val="00F4480A"/>
    <w:rsid w:val="00F460A3"/>
    <w:rsid w:val="00F471A4"/>
    <w:rsid w:val="00F519B5"/>
    <w:rsid w:val="00F51CDB"/>
    <w:rsid w:val="00F521AE"/>
    <w:rsid w:val="00F524E8"/>
    <w:rsid w:val="00F54D79"/>
    <w:rsid w:val="00F550A7"/>
    <w:rsid w:val="00F56886"/>
    <w:rsid w:val="00F57704"/>
    <w:rsid w:val="00F628DD"/>
    <w:rsid w:val="00F62BA4"/>
    <w:rsid w:val="00F643BD"/>
    <w:rsid w:val="00F6594E"/>
    <w:rsid w:val="00F659D4"/>
    <w:rsid w:val="00F7169B"/>
    <w:rsid w:val="00F80C55"/>
    <w:rsid w:val="00F82122"/>
    <w:rsid w:val="00F824C7"/>
    <w:rsid w:val="00F83AB9"/>
    <w:rsid w:val="00F8517B"/>
    <w:rsid w:val="00F857FE"/>
    <w:rsid w:val="00F8762B"/>
    <w:rsid w:val="00F87777"/>
    <w:rsid w:val="00F9040F"/>
    <w:rsid w:val="00F90B24"/>
    <w:rsid w:val="00F979BC"/>
    <w:rsid w:val="00FA018D"/>
    <w:rsid w:val="00FA1D09"/>
    <w:rsid w:val="00FA1E70"/>
    <w:rsid w:val="00FA22C8"/>
    <w:rsid w:val="00FA2D19"/>
    <w:rsid w:val="00FA52C6"/>
    <w:rsid w:val="00FA5363"/>
    <w:rsid w:val="00FA547E"/>
    <w:rsid w:val="00FA6E4D"/>
    <w:rsid w:val="00FB0CDC"/>
    <w:rsid w:val="00FB2811"/>
    <w:rsid w:val="00FB398F"/>
    <w:rsid w:val="00FB4826"/>
    <w:rsid w:val="00FB5620"/>
    <w:rsid w:val="00FB5A25"/>
    <w:rsid w:val="00FB6AEC"/>
    <w:rsid w:val="00FB7BB2"/>
    <w:rsid w:val="00FC0CA3"/>
    <w:rsid w:val="00FC0DF2"/>
    <w:rsid w:val="00FC2DC3"/>
    <w:rsid w:val="00FC3ABD"/>
    <w:rsid w:val="00FC43EA"/>
    <w:rsid w:val="00FC555C"/>
    <w:rsid w:val="00FD5097"/>
    <w:rsid w:val="00FD5125"/>
    <w:rsid w:val="00FE07E5"/>
    <w:rsid w:val="00FE0A05"/>
    <w:rsid w:val="00FE1236"/>
    <w:rsid w:val="00FE1BCD"/>
    <w:rsid w:val="00FE2B1D"/>
    <w:rsid w:val="00FE4B95"/>
    <w:rsid w:val="00FE7917"/>
    <w:rsid w:val="00FE7E9A"/>
    <w:rsid w:val="00FF19C0"/>
    <w:rsid w:val="00FF1E16"/>
    <w:rsid w:val="00FF6369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A98DC3"/>
  <w15:docId w15:val="{E82B1402-B3D1-4815-8FD8-F8FF637C0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23F6"/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53044"/>
    <w:pPr>
      <w:keepNext/>
      <w:keepLines/>
      <w:numPr>
        <w:numId w:val="1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3044"/>
    <w:pPr>
      <w:keepNext/>
      <w:keepLines/>
      <w:numPr>
        <w:ilvl w:val="1"/>
        <w:numId w:val="1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044"/>
    <w:pPr>
      <w:keepNext/>
      <w:keepLines/>
      <w:numPr>
        <w:ilvl w:val="2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044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044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044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044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044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044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8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2784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2C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372FA"/>
    <w:rPr>
      <w:rFonts w:ascii="Arial" w:hAnsi="Arial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72F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372FA"/>
    <w:rPr>
      <w:rFonts w:ascii="Arial" w:hAnsi="Arial"/>
      <w:szCs w:val="22"/>
      <w:lang w:eastAsia="en-US"/>
    </w:rPr>
  </w:style>
  <w:style w:type="character" w:styleId="Hyperlink">
    <w:name w:val="Hyperlink"/>
    <w:uiPriority w:val="99"/>
    <w:unhideWhenUsed/>
    <w:rsid w:val="00187BB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187BB0"/>
    <w:rPr>
      <w:color w:val="808080"/>
      <w:shd w:val="clear" w:color="auto" w:fill="E6E6E6"/>
    </w:rPr>
  </w:style>
  <w:style w:type="paragraph" w:styleId="ListParagraph">
    <w:name w:val="List Paragraph"/>
    <w:aliases w:val="3,Akapit z listą BS,Bullet1,Bullets,Ha,Heading 11,IBL List Paragraph,L,List Paragraph (numbered (a)),List Paragraph 1,List Paragraph nowy,List Paragraph-ExecSummary,List_Paragraph,Liste 1,Multilevel para_II,ReferencesCxSpLast,l,lp1,본문(내용)"/>
    <w:basedOn w:val="Normal"/>
    <w:link w:val="ListParagraphChar"/>
    <w:uiPriority w:val="34"/>
    <w:qFormat/>
    <w:rsid w:val="00A223F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530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5304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0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044"/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044"/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044"/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044"/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044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0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customStyle="1" w:styleId="Style1">
    <w:name w:val="Style1"/>
    <w:basedOn w:val="Heading1"/>
    <w:link w:val="Style1Char"/>
    <w:qFormat/>
    <w:rsid w:val="00653044"/>
    <w:rPr>
      <w:rFonts w:asciiTheme="minorHAnsi" w:hAnsiTheme="minorHAnsi"/>
      <w:sz w:val="24"/>
    </w:rPr>
  </w:style>
  <w:style w:type="paragraph" w:customStyle="1" w:styleId="HeadingA">
    <w:name w:val="Heading A"/>
    <w:basedOn w:val="Normal"/>
    <w:link w:val="HeadingAChar"/>
    <w:qFormat/>
    <w:rsid w:val="00402746"/>
    <w:pPr>
      <w:numPr>
        <w:numId w:val="2"/>
      </w:numPr>
      <w:spacing w:before="360" w:after="360"/>
    </w:pPr>
    <w:rPr>
      <w:rFonts w:ascii="Calibri" w:hAnsi="Calibri" w:cs="Calibri"/>
      <w:b/>
      <w:color w:val="2F5496" w:themeColor="accent1" w:themeShade="BF"/>
      <w:sz w:val="22"/>
    </w:rPr>
  </w:style>
  <w:style w:type="character" w:customStyle="1" w:styleId="Style1Char">
    <w:name w:val="Style1 Char"/>
    <w:basedOn w:val="Heading1Char"/>
    <w:link w:val="Style1"/>
    <w:rsid w:val="00653044"/>
    <w:rPr>
      <w:rFonts w:asciiTheme="minorHAnsi" w:eastAsiaTheme="majorEastAsia" w:hAnsiTheme="minorHAnsi" w:cstheme="majorBidi"/>
      <w:color w:val="2F5496" w:themeColor="accent1" w:themeShade="BF"/>
      <w:sz w:val="24"/>
      <w:szCs w:val="32"/>
      <w:lang w:eastAsia="en-US"/>
    </w:rPr>
  </w:style>
  <w:style w:type="character" w:customStyle="1" w:styleId="HeadingAChar">
    <w:name w:val="Heading A Char"/>
    <w:basedOn w:val="Heading1Char"/>
    <w:link w:val="HeadingA"/>
    <w:rsid w:val="00402746"/>
    <w:rPr>
      <w:rFonts w:asciiTheme="majorHAnsi" w:eastAsiaTheme="majorEastAsia" w:hAnsiTheme="majorHAnsi" w:cs="Calibri"/>
      <w:b/>
      <w:color w:val="2F5496" w:themeColor="accent1" w:themeShade="BF"/>
      <w:sz w:val="22"/>
      <w:szCs w:val="22"/>
      <w:lang w:eastAsia="en-US"/>
    </w:rPr>
  </w:style>
  <w:style w:type="character" w:customStyle="1" w:styleId="CharStyle3">
    <w:name w:val="Char Style 3"/>
    <w:basedOn w:val="DefaultParagraphFont"/>
    <w:link w:val="Style2"/>
    <w:rsid w:val="00EE73E3"/>
    <w:rPr>
      <w:sz w:val="17"/>
      <w:szCs w:val="17"/>
      <w:shd w:val="clear" w:color="auto" w:fill="FFFFFF"/>
    </w:rPr>
  </w:style>
  <w:style w:type="character" w:customStyle="1" w:styleId="CharStyle31">
    <w:name w:val="Char Style 31"/>
    <w:basedOn w:val="DefaultParagraphFont"/>
    <w:link w:val="Style30"/>
    <w:rsid w:val="00EE73E3"/>
    <w:rPr>
      <w:sz w:val="22"/>
      <w:szCs w:val="22"/>
      <w:shd w:val="clear" w:color="auto" w:fill="FFFFFF"/>
    </w:rPr>
  </w:style>
  <w:style w:type="paragraph" w:customStyle="1" w:styleId="Style2">
    <w:name w:val="Style 2"/>
    <w:basedOn w:val="Normal"/>
    <w:link w:val="CharStyle3"/>
    <w:qFormat/>
    <w:rsid w:val="00EE73E3"/>
    <w:pPr>
      <w:widowControl w:val="0"/>
      <w:shd w:val="clear" w:color="auto" w:fill="FFFFFF"/>
      <w:spacing w:line="188" w:lineRule="exact"/>
    </w:pPr>
    <w:rPr>
      <w:rFonts w:ascii="Calibri" w:hAnsi="Calibri"/>
      <w:sz w:val="17"/>
      <w:szCs w:val="17"/>
      <w:lang w:eastAsia="hr-HR"/>
    </w:rPr>
  </w:style>
  <w:style w:type="paragraph" w:customStyle="1" w:styleId="Style30">
    <w:name w:val="Style 30"/>
    <w:basedOn w:val="Normal"/>
    <w:link w:val="CharStyle31"/>
    <w:qFormat/>
    <w:rsid w:val="00EE73E3"/>
    <w:pPr>
      <w:widowControl w:val="0"/>
      <w:shd w:val="clear" w:color="auto" w:fill="FFFFFF"/>
      <w:spacing w:before="220" w:after="120" w:line="274" w:lineRule="exact"/>
      <w:ind w:hanging="640"/>
      <w:jc w:val="both"/>
    </w:pPr>
    <w:rPr>
      <w:rFonts w:ascii="Calibri" w:hAnsi="Calibri"/>
      <w:sz w:val="22"/>
      <w:lang w:eastAsia="hr-HR"/>
    </w:rPr>
  </w:style>
  <w:style w:type="character" w:customStyle="1" w:styleId="CharStyle9">
    <w:name w:val="Char Style 9"/>
    <w:basedOn w:val="DefaultParagraphFont"/>
    <w:link w:val="Style8"/>
    <w:locked/>
    <w:rsid w:val="00D725E3"/>
    <w:rPr>
      <w:b/>
      <w:bCs/>
      <w:shd w:val="clear" w:color="auto" w:fill="FFFFFF"/>
    </w:rPr>
  </w:style>
  <w:style w:type="paragraph" w:customStyle="1" w:styleId="Style8">
    <w:name w:val="Style 8"/>
    <w:basedOn w:val="Normal"/>
    <w:link w:val="CharStyle9"/>
    <w:qFormat/>
    <w:rsid w:val="00D725E3"/>
    <w:pPr>
      <w:widowControl w:val="0"/>
      <w:shd w:val="clear" w:color="auto" w:fill="FFFFFF"/>
      <w:spacing w:before="680" w:after="140" w:line="442" w:lineRule="exact"/>
      <w:jc w:val="center"/>
      <w:outlineLvl w:val="2"/>
    </w:pPr>
    <w:rPr>
      <w:rFonts w:ascii="Calibri" w:hAnsi="Calibri"/>
      <w:b/>
      <w:bCs/>
      <w:szCs w:val="20"/>
      <w:lang w:eastAsia="hr-HR"/>
    </w:rPr>
  </w:style>
  <w:style w:type="character" w:customStyle="1" w:styleId="CharStyle11">
    <w:name w:val="Char Style 11"/>
    <w:basedOn w:val="DefaultParagraphFont"/>
    <w:link w:val="Style10"/>
    <w:locked/>
    <w:rsid w:val="00D725E3"/>
    <w:rPr>
      <w:sz w:val="21"/>
      <w:szCs w:val="21"/>
      <w:shd w:val="clear" w:color="auto" w:fill="FFFFFF"/>
    </w:rPr>
  </w:style>
  <w:style w:type="paragraph" w:customStyle="1" w:styleId="Style10">
    <w:name w:val="Style 10"/>
    <w:basedOn w:val="Normal"/>
    <w:link w:val="CharStyle11"/>
    <w:qFormat/>
    <w:rsid w:val="00D725E3"/>
    <w:pPr>
      <w:widowControl w:val="0"/>
      <w:shd w:val="clear" w:color="auto" w:fill="FFFFFF"/>
      <w:spacing w:before="140" w:after="140" w:line="283" w:lineRule="exact"/>
      <w:ind w:hanging="420"/>
      <w:jc w:val="both"/>
    </w:pPr>
    <w:rPr>
      <w:rFonts w:ascii="Calibri" w:hAnsi="Calibri"/>
      <w:sz w:val="21"/>
      <w:szCs w:val="21"/>
      <w:lang w:eastAsia="hr-HR"/>
    </w:rPr>
  </w:style>
  <w:style w:type="character" w:customStyle="1" w:styleId="CharStyle14">
    <w:name w:val="Char Style 14"/>
    <w:basedOn w:val="DefaultParagraphFont"/>
    <w:link w:val="Style13"/>
    <w:locked/>
    <w:rsid w:val="00D725E3"/>
    <w:rPr>
      <w:b/>
      <w:bCs/>
      <w:sz w:val="21"/>
      <w:szCs w:val="21"/>
      <w:shd w:val="clear" w:color="auto" w:fill="FFFFFF"/>
    </w:rPr>
  </w:style>
  <w:style w:type="paragraph" w:customStyle="1" w:styleId="Style13">
    <w:name w:val="Style 13"/>
    <w:basedOn w:val="Normal"/>
    <w:link w:val="CharStyle14"/>
    <w:rsid w:val="00D725E3"/>
    <w:pPr>
      <w:widowControl w:val="0"/>
      <w:shd w:val="clear" w:color="auto" w:fill="FFFFFF"/>
      <w:spacing w:before="360" w:after="140" w:line="232" w:lineRule="exact"/>
      <w:jc w:val="both"/>
    </w:pPr>
    <w:rPr>
      <w:rFonts w:ascii="Calibri" w:hAnsi="Calibri"/>
      <w:b/>
      <w:bCs/>
      <w:sz w:val="21"/>
      <w:szCs w:val="21"/>
      <w:lang w:eastAsia="hr-HR"/>
    </w:rPr>
  </w:style>
  <w:style w:type="character" w:customStyle="1" w:styleId="CharStyle16">
    <w:name w:val="Char Style 16"/>
    <w:basedOn w:val="DefaultParagraphFont"/>
    <w:link w:val="Style15"/>
    <w:locked/>
    <w:rsid w:val="00D725E3"/>
    <w:rPr>
      <w:shd w:val="clear" w:color="auto" w:fill="FFFFFF"/>
    </w:rPr>
  </w:style>
  <w:style w:type="paragraph" w:customStyle="1" w:styleId="Style15">
    <w:name w:val="Style 15"/>
    <w:basedOn w:val="Normal"/>
    <w:link w:val="CharStyle16"/>
    <w:rsid w:val="00D725E3"/>
    <w:pPr>
      <w:widowControl w:val="0"/>
      <w:shd w:val="clear" w:color="auto" w:fill="FFFFFF"/>
      <w:spacing w:before="1920" w:line="222" w:lineRule="exact"/>
      <w:jc w:val="both"/>
    </w:pPr>
    <w:rPr>
      <w:rFonts w:ascii="Calibri" w:hAnsi="Calibri"/>
      <w:szCs w:val="20"/>
      <w:lang w:eastAsia="hr-HR"/>
    </w:rPr>
  </w:style>
  <w:style w:type="character" w:customStyle="1" w:styleId="CharStyle12">
    <w:name w:val="Char Style 12"/>
    <w:basedOn w:val="CharStyle11"/>
    <w:semiHidden/>
    <w:rsid w:val="00D725E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hr-HR" w:eastAsia="hr-HR" w:bidi="hr-HR"/>
    </w:rPr>
  </w:style>
  <w:style w:type="paragraph" w:styleId="FootnoteText">
    <w:name w:val="footnote text"/>
    <w:basedOn w:val="Normal"/>
    <w:link w:val="FootnoteTextChar"/>
    <w:uiPriority w:val="99"/>
    <w:unhideWhenUsed/>
    <w:rsid w:val="00E90E1B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90E1B"/>
    <w:rPr>
      <w:rFonts w:ascii="Arial" w:hAnsi="Arial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E90E1B"/>
    <w:rPr>
      <w:vertAlign w:val="superscript"/>
    </w:rPr>
  </w:style>
  <w:style w:type="paragraph" w:customStyle="1" w:styleId="StyleNormalWebVerdana10pt">
    <w:name w:val="Style Normal (Web) + Verdana 10 pt"/>
    <w:basedOn w:val="NormalWeb"/>
    <w:rsid w:val="001B2D65"/>
    <w:pPr>
      <w:spacing w:before="100" w:beforeAutospacing="1" w:after="100" w:afterAutospacing="1"/>
      <w:jc w:val="both"/>
    </w:pPr>
    <w:rPr>
      <w:rFonts w:eastAsia="Times New Roman"/>
      <w:lang w:eastAsia="hr-HR"/>
    </w:rPr>
  </w:style>
  <w:style w:type="paragraph" w:styleId="NormalWeb">
    <w:name w:val="Normal (Web)"/>
    <w:basedOn w:val="Normal"/>
    <w:uiPriority w:val="99"/>
    <w:semiHidden/>
    <w:unhideWhenUsed/>
    <w:rsid w:val="001B2D65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CA41CD"/>
    <w:pPr>
      <w:widowControl w:val="0"/>
      <w:autoSpaceDE w:val="0"/>
      <w:autoSpaceDN w:val="0"/>
    </w:pPr>
    <w:rPr>
      <w:rFonts w:ascii="Times New Roman" w:eastAsia="Times New Roman" w:hAnsi="Times New Roman"/>
      <w:sz w:val="21"/>
      <w:szCs w:val="21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A41CD"/>
    <w:rPr>
      <w:rFonts w:ascii="Times New Roman" w:eastAsia="Times New Roman" w:hAnsi="Times New Roman"/>
      <w:sz w:val="21"/>
      <w:szCs w:val="21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056A"/>
    <w:pPr>
      <w:widowControl w:val="0"/>
      <w:autoSpaceDE w:val="0"/>
      <w:autoSpaceDN w:val="0"/>
    </w:pPr>
    <w:rPr>
      <w:rFonts w:ascii="Calibri" w:hAnsi="Calibri" w:cs="Calibri"/>
      <w:sz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3F63D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F63DE"/>
    <w:pPr>
      <w:spacing w:after="200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rsid w:val="003F63DE"/>
    <w:rPr>
      <w:rFonts w:asciiTheme="minorHAnsi" w:eastAsiaTheme="minorHAnsi" w:hAnsiTheme="minorHAnsi" w:cstheme="minorBidi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4C3EE8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5D65"/>
    <w:pPr>
      <w:spacing w:after="0"/>
    </w:pPr>
    <w:rPr>
      <w:rFonts w:ascii="Arial" w:eastAsia="Calibri" w:hAnsi="Arial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5D65"/>
    <w:rPr>
      <w:rFonts w:ascii="Arial" w:eastAsiaTheme="minorHAnsi" w:hAnsi="Arial" w:cstheme="minorBidi"/>
      <w:b/>
      <w:bCs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0610A3"/>
    <w:pPr>
      <w:numPr>
        <w:numId w:val="0"/>
      </w:numPr>
      <w:spacing w:line="259" w:lineRule="auto"/>
      <w:outlineLvl w:val="9"/>
    </w:pPr>
    <w:rPr>
      <w:lang w:eastAsia="hr-HR"/>
    </w:rPr>
  </w:style>
  <w:style w:type="paragraph" w:styleId="TOC2">
    <w:name w:val="toc 2"/>
    <w:basedOn w:val="Normal"/>
    <w:next w:val="Normal"/>
    <w:autoRedefine/>
    <w:uiPriority w:val="39"/>
    <w:unhideWhenUsed/>
    <w:rsid w:val="00E27923"/>
    <w:pPr>
      <w:tabs>
        <w:tab w:val="left" w:pos="993"/>
        <w:tab w:val="right" w:leader="dot" w:pos="9017"/>
      </w:tabs>
      <w:spacing w:after="100" w:line="259" w:lineRule="auto"/>
      <w:ind w:left="993" w:hanging="633"/>
    </w:pPr>
    <w:rPr>
      <w:rFonts w:eastAsiaTheme="minorEastAsia" w:cs="Arial"/>
      <w:b/>
      <w:bCs/>
      <w:noProof/>
      <w:szCs w:val="20"/>
      <w:lang w:eastAsia="hr-HR"/>
    </w:rPr>
  </w:style>
  <w:style w:type="paragraph" w:styleId="TOC1">
    <w:name w:val="toc 1"/>
    <w:basedOn w:val="Normal"/>
    <w:next w:val="Normal"/>
    <w:autoRedefine/>
    <w:uiPriority w:val="39"/>
    <w:unhideWhenUsed/>
    <w:rsid w:val="00872DB7"/>
    <w:pPr>
      <w:tabs>
        <w:tab w:val="left" w:pos="709"/>
        <w:tab w:val="right" w:leader="dot" w:pos="9017"/>
      </w:tabs>
      <w:spacing w:after="100" w:line="259" w:lineRule="auto"/>
      <w:ind w:left="284"/>
    </w:pPr>
    <w:rPr>
      <w:rFonts w:eastAsiaTheme="minorEastAsia" w:cs="Arial"/>
      <w:b/>
      <w:noProof/>
      <w:szCs w:val="20"/>
      <w:lang w:eastAsia="hr-HR"/>
    </w:rPr>
  </w:style>
  <w:style w:type="paragraph" w:styleId="TOC3">
    <w:name w:val="toc 3"/>
    <w:basedOn w:val="Normal"/>
    <w:next w:val="Normal"/>
    <w:autoRedefine/>
    <w:uiPriority w:val="39"/>
    <w:unhideWhenUsed/>
    <w:rsid w:val="0017180E"/>
    <w:pPr>
      <w:tabs>
        <w:tab w:val="left" w:pos="1276"/>
        <w:tab w:val="right" w:leader="dot" w:pos="9017"/>
      </w:tabs>
      <w:spacing w:after="100" w:line="259" w:lineRule="auto"/>
      <w:ind w:left="1276"/>
    </w:pPr>
    <w:rPr>
      <w:rFonts w:eastAsiaTheme="minorEastAsia" w:cs="Arial"/>
      <w:noProof/>
      <w:szCs w:val="20"/>
      <w:lang w:eastAsia="hr-HR"/>
    </w:rPr>
  </w:style>
  <w:style w:type="character" w:customStyle="1" w:styleId="Style11pt">
    <w:name w:val="Style 11 pt"/>
    <w:rsid w:val="007011C4"/>
    <w:rPr>
      <w:sz w:val="22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540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5402"/>
    <w:rPr>
      <w:rFonts w:ascii="Arial" w:hAnsi="Arial"/>
      <w:szCs w:val="22"/>
      <w:lang w:eastAsia="en-US"/>
    </w:rPr>
  </w:style>
  <w:style w:type="character" w:customStyle="1" w:styleId="ListParagraphChar">
    <w:name w:val="List Paragraph Char"/>
    <w:aliases w:val="3 Char,Akapit z listą BS Char,Bullet1 Char,Bullets Char,Ha Char,Heading 11 Char,IBL List Paragraph Char,L Char,List Paragraph (numbered (a)) Char,List Paragraph 1 Char,List Paragraph nowy Char,List Paragraph-ExecSummary Char,l Char"/>
    <w:link w:val="ListParagraph"/>
    <w:uiPriority w:val="34"/>
    <w:qFormat/>
    <w:locked/>
    <w:rsid w:val="008207EB"/>
    <w:rPr>
      <w:rFonts w:ascii="Arial" w:hAnsi="Arial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29175D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9175D"/>
    <w:rPr>
      <w:rFonts w:eastAsiaTheme="minorHAnsi" w:cstheme="minorBidi"/>
      <w:sz w:val="22"/>
      <w:szCs w:val="21"/>
      <w:lang w:eastAsia="en-US"/>
    </w:rPr>
  </w:style>
  <w:style w:type="table" w:customStyle="1" w:styleId="TableGrid1">
    <w:name w:val="Table Grid1"/>
    <w:basedOn w:val="TableNormal"/>
    <w:next w:val="TableGrid"/>
    <w:rsid w:val="001340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vci">
    <w:name w:val="Stavci"/>
    <w:basedOn w:val="Normal"/>
    <w:qFormat/>
    <w:rsid w:val="002B4822"/>
    <w:pPr>
      <w:numPr>
        <w:numId w:val="7"/>
      </w:numPr>
      <w:spacing w:before="120"/>
      <w:jc w:val="both"/>
    </w:pPr>
    <w:rPr>
      <w:rFonts w:ascii="Times New Roman" w:hAnsi="Times New Roman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6F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B36F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customStyle="1" w:styleId="Default">
    <w:name w:val="Default"/>
    <w:rsid w:val="00BD538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996FD7"/>
    <w:rPr>
      <w:rFonts w:ascii="Arial" w:hAnsi="Arial"/>
      <w:szCs w:val="22"/>
      <w:lang w:eastAsia="en-US"/>
    </w:rPr>
  </w:style>
  <w:style w:type="table" w:customStyle="1" w:styleId="Tamnatablicareetke5-isticanje51">
    <w:name w:val="Tamna tablica rešetke 5 - isticanje 51"/>
    <w:basedOn w:val="TableNormal"/>
    <w:uiPriority w:val="50"/>
    <w:rsid w:val="00533C32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bor.hr/pravilnik-o-upravljanju-reputacijskim-rizikom-hbor-a-koji-proizlazi-iz-poslovnog-odnosa-s-klijent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hbor.hr/wp-content/uploads/2016/10/Ogranicenje-u-kreditiranju-drzavnih-duznosnika.pdf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bor.hr/naslovnica/hbor/poduzetnici-u-teskocama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-lex.europa.eu/legal-content/HR/TXT/PDF/?uri=OJ:C:2014:249:FULL&amp;from=H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1F54D87BFF5D46AFF96CAF74CCCABA" ma:contentTypeVersion="1" ma:contentTypeDescription="Create a new document." ma:contentTypeScope="" ma:versionID="e260719ec15ddbd82ac1795ed88cb393">
  <xsd:schema xmlns:xsd="http://www.w3.org/2001/XMLSchema" xmlns:xs="http://www.w3.org/2001/XMLSchema" xmlns:p="http://schemas.microsoft.com/office/2006/metadata/properties" xmlns:ns2="cc1bae78-4333-4ddf-b08b-bd286aa6bb3e" targetNamespace="http://schemas.microsoft.com/office/2006/metadata/properties" ma:root="true" ma:fieldsID="13d209ee6fcbad0fc41235b99368786a" ns2:_=""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B2B2CD-9826-4E9E-8E74-957A0478FF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719F1C-ED2D-4FE4-A686-DA61FAF4BF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2EFC5A-1FF9-45BF-9DE1-FE7B99501A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3665091-8F13-402C-994C-D5804BE09B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4827</Words>
  <Characters>27515</Characters>
  <Application>Microsoft Office Word</Application>
  <DocSecurity>0</DocSecurity>
  <Lines>229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iva.sunjic</dc:creator>
  <cp:keywords/>
  <dc:description/>
  <cp:lastModifiedBy>Milić Andrea</cp:lastModifiedBy>
  <cp:revision>7</cp:revision>
  <cp:lastPrinted>2023-06-03T12:18:00Z</cp:lastPrinted>
  <dcterms:created xsi:type="dcterms:W3CDTF">2023-06-02T11:55:00Z</dcterms:created>
  <dcterms:modified xsi:type="dcterms:W3CDTF">2023-06-03T12:18:00Z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0x010100901F54D87BFF5D46AFF96CAF74CCCABA</vt:lpwstr>
  </property>
  <property fmtid="{D5CDD505-2E9C-101B-9397-08002B2CF9AE}" pid="3" name="Datum ažuriranja">
    <vt:filetime>2018-07-27T11:43:25Z</vt:filetime>
  </property>
</Properties>
</file>